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368" w:rsidRPr="003B0DC6" w:rsidRDefault="00673C22" w:rsidP="00FC5368">
      <w:pPr>
        <w:rPr>
          <w:rFonts w:asciiTheme="minorHAnsi" w:hAnsiTheme="minorHAnsi"/>
          <w:b/>
          <w:sz w:val="16"/>
          <w:szCs w:val="16"/>
        </w:rPr>
      </w:pPr>
      <w:bookmarkStart w:id="0" w:name="_GoBack"/>
      <w:bookmarkEnd w:id="0"/>
      <w:r w:rsidRPr="003B0DC6">
        <w:rPr>
          <w:rFonts w:asciiTheme="minorHAnsi" w:hAnsiTheme="minorHAnsi"/>
          <w:noProof/>
        </w:rPr>
        <w:drawing>
          <wp:anchor distT="0" distB="0" distL="114300" distR="114300" simplePos="0" relativeHeight="251657728" behindDoc="1" locked="0" layoutInCell="1" allowOverlap="1" wp14:anchorId="2129D58B" wp14:editId="5CF2096A">
            <wp:simplePos x="0" y="0"/>
            <wp:positionH relativeFrom="column">
              <wp:posOffset>9525</wp:posOffset>
            </wp:positionH>
            <wp:positionV relativeFrom="paragraph">
              <wp:posOffset>-457200</wp:posOffset>
            </wp:positionV>
            <wp:extent cx="1885950" cy="1371600"/>
            <wp:effectExtent l="19050" t="0" r="0" b="0"/>
            <wp:wrapThrough wrapText="bothSides">
              <wp:wrapPolygon edited="0">
                <wp:start x="-218" y="0"/>
                <wp:lineTo x="-218" y="21300"/>
                <wp:lineTo x="21600" y="21300"/>
                <wp:lineTo x="21600" y="0"/>
                <wp:lineTo x="-218" y="0"/>
              </wp:wrapPolygon>
            </wp:wrapThrough>
            <wp:docPr id="2" name="Picture 2" descr="PACHC Logo New ~ Dec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HC Logo New ~ Dec 08"/>
                    <pic:cNvPicPr>
                      <a:picLocks noChangeAspect="1" noChangeArrowheads="1"/>
                    </pic:cNvPicPr>
                  </pic:nvPicPr>
                  <pic:blipFill>
                    <a:blip r:embed="rId8" cstate="print"/>
                    <a:srcRect/>
                    <a:stretch>
                      <a:fillRect/>
                    </a:stretch>
                  </pic:blipFill>
                  <pic:spPr bwMode="auto">
                    <a:xfrm>
                      <a:off x="0" y="0"/>
                      <a:ext cx="1885950" cy="1371600"/>
                    </a:xfrm>
                    <a:prstGeom prst="rect">
                      <a:avLst/>
                    </a:prstGeom>
                    <a:noFill/>
                    <a:ln w="9525">
                      <a:noFill/>
                      <a:miter lim="800000"/>
                      <a:headEnd/>
                      <a:tailEnd/>
                    </a:ln>
                  </pic:spPr>
                </pic:pic>
              </a:graphicData>
            </a:graphic>
          </wp:anchor>
        </w:drawing>
      </w:r>
    </w:p>
    <w:p w:rsidR="00FC5368" w:rsidRPr="003B0DC6" w:rsidRDefault="00FC5368" w:rsidP="00FC5368">
      <w:pPr>
        <w:pStyle w:val="NoSpacing"/>
        <w:ind w:left="5040" w:firstLine="720"/>
        <w:rPr>
          <w:rFonts w:asciiTheme="minorHAnsi" w:hAnsiTheme="minorHAnsi"/>
          <w:b/>
          <w:sz w:val="16"/>
          <w:szCs w:val="16"/>
        </w:rPr>
      </w:pPr>
    </w:p>
    <w:p w:rsidR="00FC5368" w:rsidRPr="00D33C5E" w:rsidRDefault="00FC5368" w:rsidP="00FC5368">
      <w:pPr>
        <w:pStyle w:val="NoSpacing"/>
        <w:jc w:val="right"/>
        <w:rPr>
          <w:b/>
          <w:sz w:val="28"/>
          <w:szCs w:val="28"/>
          <w:u w:val="single"/>
        </w:rPr>
      </w:pPr>
      <w:r w:rsidRPr="00D33C5E">
        <w:rPr>
          <w:rFonts w:eastAsiaTheme="minorEastAsia"/>
          <w:b/>
          <w:bCs/>
          <w:sz w:val="28"/>
          <w:szCs w:val="28"/>
          <w:u w:val="single"/>
        </w:rPr>
        <w:t>PACHC Memo</w:t>
      </w:r>
      <w:r w:rsidR="00F8400B">
        <w:rPr>
          <w:rFonts w:eastAsiaTheme="minorEastAsia"/>
          <w:b/>
          <w:bCs/>
          <w:sz w:val="28"/>
          <w:szCs w:val="28"/>
          <w:u w:val="single"/>
        </w:rPr>
        <w:t xml:space="preserve"> 2016-0</w:t>
      </w:r>
      <w:r w:rsidR="00D33C5E" w:rsidRPr="00D33C5E">
        <w:rPr>
          <w:rFonts w:eastAsiaTheme="minorEastAsia"/>
          <w:b/>
          <w:bCs/>
          <w:sz w:val="28"/>
          <w:szCs w:val="28"/>
          <w:u w:val="single"/>
        </w:rPr>
        <w:t>5</w:t>
      </w:r>
      <w:r w:rsidR="00845E06" w:rsidRPr="00D33C5E">
        <w:rPr>
          <w:rFonts w:eastAsiaTheme="minorEastAsia"/>
          <w:b/>
          <w:bCs/>
          <w:sz w:val="28"/>
          <w:szCs w:val="28"/>
          <w:u w:val="single"/>
        </w:rPr>
        <w:t xml:space="preserve"> </w:t>
      </w:r>
    </w:p>
    <w:p w:rsidR="00FC5368" w:rsidRPr="00D33C5E" w:rsidRDefault="008123A0" w:rsidP="008123A0">
      <w:pPr>
        <w:pStyle w:val="NoSpacing"/>
        <w:jc w:val="right"/>
        <w:rPr>
          <w:b/>
          <w:sz w:val="6"/>
          <w:szCs w:val="6"/>
        </w:rPr>
      </w:pPr>
      <w:r w:rsidRPr="00D33C5E">
        <w:rPr>
          <w:rFonts w:eastAsiaTheme="minorEastAsia"/>
          <w:b/>
          <w:bCs/>
        </w:rPr>
        <w:t>Please share this with:</w:t>
      </w:r>
    </w:p>
    <w:p w:rsidR="0041736E" w:rsidRPr="00D33C5E" w:rsidRDefault="0041736E" w:rsidP="0041736E">
      <w:pPr>
        <w:pStyle w:val="NoSpacing"/>
        <w:rPr>
          <w:b/>
        </w:rPr>
      </w:pPr>
      <w:r w:rsidRPr="00D33C5E">
        <w:rPr>
          <w:sz w:val="6"/>
          <w:szCs w:val="6"/>
        </w:rPr>
        <w:tab/>
      </w:r>
      <w:r w:rsidRPr="00D33C5E">
        <w:rPr>
          <w:sz w:val="6"/>
          <w:szCs w:val="6"/>
        </w:rPr>
        <w:tab/>
      </w:r>
      <w:r w:rsidRPr="00D33C5E">
        <w:rPr>
          <w:sz w:val="6"/>
          <w:szCs w:val="6"/>
        </w:rPr>
        <w:tab/>
      </w:r>
      <w:r w:rsidRPr="00D33C5E">
        <w:rPr>
          <w:sz w:val="6"/>
          <w:szCs w:val="6"/>
        </w:rPr>
        <w:tab/>
      </w:r>
      <w:r w:rsidRPr="00D33C5E">
        <w:rPr>
          <w:sz w:val="6"/>
          <w:szCs w:val="6"/>
        </w:rPr>
        <w:tab/>
      </w:r>
      <w:r w:rsidRPr="00D33C5E">
        <w:rPr>
          <w:sz w:val="6"/>
          <w:szCs w:val="6"/>
        </w:rPr>
        <w:tab/>
      </w:r>
      <w:r w:rsidRPr="00D33C5E">
        <w:rPr>
          <w:sz w:val="6"/>
          <w:szCs w:val="6"/>
        </w:rPr>
        <w:tab/>
      </w:r>
      <w:r w:rsidRPr="00D33C5E">
        <w:rPr>
          <w:sz w:val="6"/>
          <w:szCs w:val="6"/>
        </w:rPr>
        <w:tab/>
      </w:r>
      <w:r w:rsidRPr="00D33C5E">
        <w:rPr>
          <w:sz w:val="6"/>
          <w:szCs w:val="6"/>
        </w:rPr>
        <w:tab/>
      </w:r>
      <w:r w:rsidRPr="00D33C5E">
        <w:rPr>
          <w:sz w:val="6"/>
          <w:szCs w:val="6"/>
        </w:rPr>
        <w:tab/>
      </w:r>
      <w:r w:rsidR="00F064CA" w:rsidRPr="00D33C5E">
        <w:rPr>
          <w:sz w:val="6"/>
          <w:szCs w:val="6"/>
        </w:rPr>
        <w:tab/>
      </w:r>
      <w:r w:rsidR="00F064CA" w:rsidRPr="00D33C5E">
        <w:rPr>
          <w:sz w:val="6"/>
          <w:szCs w:val="6"/>
        </w:rPr>
        <w:tab/>
      </w:r>
      <w:r w:rsidR="00F064CA" w:rsidRPr="00D33C5E">
        <w:rPr>
          <w:sz w:val="6"/>
          <w:szCs w:val="6"/>
        </w:rPr>
        <w:tab/>
      </w:r>
      <w:r w:rsidR="00F064CA" w:rsidRPr="00D33C5E">
        <w:rPr>
          <w:sz w:val="6"/>
          <w:szCs w:val="6"/>
        </w:rPr>
        <w:tab/>
      </w:r>
      <w:r w:rsidR="00F064CA" w:rsidRPr="00D33C5E">
        <w:rPr>
          <w:sz w:val="6"/>
          <w:szCs w:val="6"/>
        </w:rPr>
        <w:tab/>
      </w:r>
      <w:r w:rsidRPr="00D33C5E">
        <w:rPr>
          <w:rFonts w:eastAsiaTheme="minorEastAsia"/>
          <w:b/>
          <w:bCs/>
        </w:rPr>
        <w:t>Human Resources</w:t>
      </w:r>
    </w:p>
    <w:p w:rsidR="0041736E" w:rsidRPr="003B0DC6" w:rsidRDefault="0041736E" w:rsidP="00FC5368">
      <w:pPr>
        <w:rPr>
          <w:rFonts w:asciiTheme="minorHAnsi" w:hAnsiTheme="minorHAnsi"/>
          <w:b/>
          <w:sz w:val="24"/>
          <w:szCs w:val="24"/>
        </w:rPr>
      </w:pPr>
      <w:r w:rsidRPr="003B0DC6">
        <w:rPr>
          <w:rFonts w:asciiTheme="minorHAnsi" w:hAnsiTheme="minorHAnsi"/>
          <w:b/>
          <w:sz w:val="24"/>
          <w:szCs w:val="24"/>
        </w:rPr>
        <w:tab/>
      </w:r>
      <w:r w:rsidRPr="003B0DC6">
        <w:rPr>
          <w:rFonts w:asciiTheme="minorHAnsi" w:hAnsiTheme="minorHAnsi"/>
          <w:b/>
          <w:sz w:val="24"/>
          <w:szCs w:val="24"/>
        </w:rPr>
        <w:tab/>
      </w:r>
      <w:r w:rsidRPr="003B0DC6">
        <w:rPr>
          <w:rFonts w:asciiTheme="minorHAnsi" w:hAnsiTheme="minorHAnsi"/>
          <w:b/>
          <w:sz w:val="24"/>
          <w:szCs w:val="24"/>
        </w:rPr>
        <w:tab/>
      </w:r>
      <w:r w:rsidRPr="003B0DC6">
        <w:rPr>
          <w:rFonts w:asciiTheme="minorHAnsi" w:hAnsiTheme="minorHAnsi"/>
          <w:b/>
          <w:sz w:val="24"/>
          <w:szCs w:val="24"/>
        </w:rPr>
        <w:tab/>
      </w:r>
      <w:r w:rsidRPr="003B0DC6">
        <w:rPr>
          <w:rFonts w:asciiTheme="minorHAnsi" w:hAnsiTheme="minorHAnsi"/>
          <w:b/>
          <w:sz w:val="24"/>
          <w:szCs w:val="24"/>
        </w:rPr>
        <w:tab/>
      </w:r>
      <w:r w:rsidRPr="003B0DC6">
        <w:rPr>
          <w:rFonts w:asciiTheme="minorHAnsi" w:hAnsiTheme="minorHAnsi"/>
          <w:b/>
          <w:sz w:val="24"/>
          <w:szCs w:val="24"/>
        </w:rPr>
        <w:tab/>
      </w:r>
      <w:r w:rsidRPr="003B0DC6">
        <w:rPr>
          <w:rFonts w:asciiTheme="minorHAnsi" w:hAnsiTheme="minorHAnsi"/>
          <w:b/>
          <w:sz w:val="24"/>
          <w:szCs w:val="24"/>
        </w:rPr>
        <w:tab/>
      </w:r>
    </w:p>
    <w:p w:rsidR="00601489" w:rsidRPr="00DA7FA2" w:rsidRDefault="00601489" w:rsidP="00F7389C">
      <w:pPr>
        <w:pStyle w:val="NoSpacing"/>
        <w:rPr>
          <w:szCs w:val="24"/>
        </w:rPr>
      </w:pPr>
    </w:p>
    <w:p w:rsidR="00590315" w:rsidRPr="00DA7FA2" w:rsidRDefault="00590315" w:rsidP="00F7389C">
      <w:pPr>
        <w:pStyle w:val="NoSpacing"/>
        <w:rPr>
          <w:szCs w:val="24"/>
        </w:rPr>
      </w:pPr>
    </w:p>
    <w:p w:rsidR="00590315" w:rsidRPr="00DA7FA2" w:rsidRDefault="00590315" w:rsidP="00F7389C">
      <w:pPr>
        <w:pStyle w:val="NoSpacing"/>
        <w:rPr>
          <w:szCs w:val="24"/>
        </w:rPr>
      </w:pPr>
    </w:p>
    <w:p w:rsidR="00FC5368" w:rsidRPr="00DA7FA2" w:rsidRDefault="00FC5368" w:rsidP="00601489">
      <w:pPr>
        <w:pStyle w:val="NoSpacing"/>
        <w:ind w:left="1440" w:hanging="1440"/>
        <w:rPr>
          <w:szCs w:val="24"/>
        </w:rPr>
      </w:pPr>
      <w:r w:rsidRPr="00DA7FA2">
        <w:rPr>
          <w:rFonts w:eastAsiaTheme="minorEastAsia"/>
          <w:b/>
          <w:bCs/>
          <w:szCs w:val="24"/>
        </w:rPr>
        <w:t xml:space="preserve">TO:  </w:t>
      </w:r>
      <w:r w:rsidR="00D02E61" w:rsidRPr="00DA7FA2">
        <w:rPr>
          <w:b/>
          <w:szCs w:val="24"/>
        </w:rPr>
        <w:tab/>
      </w:r>
      <w:r w:rsidRPr="00DA7FA2">
        <w:rPr>
          <w:rFonts w:eastAsiaTheme="minorEastAsia"/>
          <w:szCs w:val="24"/>
        </w:rPr>
        <w:t xml:space="preserve">Chief Executive Officers of </w:t>
      </w:r>
      <w:r w:rsidR="00D02E61" w:rsidRPr="00DA7FA2">
        <w:rPr>
          <w:rFonts w:eastAsiaTheme="minorEastAsia"/>
          <w:szCs w:val="24"/>
        </w:rPr>
        <w:t xml:space="preserve">Pennsylvania </w:t>
      </w:r>
      <w:r w:rsidRPr="00DA7FA2">
        <w:rPr>
          <w:rFonts w:eastAsiaTheme="minorEastAsia"/>
          <w:szCs w:val="24"/>
        </w:rPr>
        <w:t xml:space="preserve">Community Health Centers </w:t>
      </w:r>
      <w:r w:rsidR="00673C22" w:rsidRPr="00DA7FA2">
        <w:rPr>
          <w:noProof/>
          <w:szCs w:val="24"/>
        </w:rPr>
        <w:drawing>
          <wp:inline distT="0" distB="0" distL="0" distR="0" wp14:anchorId="4C601221" wp14:editId="1CA4680A">
            <wp:extent cx="304800" cy="142875"/>
            <wp:effectExtent l="19050" t="0" r="0" b="0"/>
            <wp:docPr id="1" name="Picture 0" descr="16-pt FQHC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6-pt FQHC color.JPG"/>
                    <pic:cNvPicPr>
                      <a:picLocks noChangeAspect="1" noChangeArrowheads="1"/>
                    </pic:cNvPicPr>
                  </pic:nvPicPr>
                  <pic:blipFill>
                    <a:blip r:embed="rId9" cstate="print"/>
                    <a:srcRect/>
                    <a:stretch>
                      <a:fillRect/>
                    </a:stretch>
                  </pic:blipFill>
                  <pic:spPr bwMode="auto">
                    <a:xfrm>
                      <a:off x="0" y="0"/>
                      <a:ext cx="304800" cy="142875"/>
                    </a:xfrm>
                    <a:prstGeom prst="rect">
                      <a:avLst/>
                    </a:prstGeom>
                    <a:noFill/>
                    <a:ln w="9525">
                      <a:noFill/>
                      <a:miter lim="800000"/>
                      <a:headEnd/>
                      <a:tailEnd/>
                    </a:ln>
                  </pic:spPr>
                </pic:pic>
              </a:graphicData>
            </a:graphic>
          </wp:inline>
        </w:drawing>
      </w:r>
      <w:r w:rsidR="00B94B0A" w:rsidRPr="00DA7FA2">
        <w:rPr>
          <w:rFonts w:eastAsiaTheme="minorEastAsia"/>
          <w:szCs w:val="24"/>
        </w:rPr>
        <w:t>,</w:t>
      </w:r>
      <w:r w:rsidRPr="00DA7FA2">
        <w:rPr>
          <w:rFonts w:eastAsiaTheme="minorEastAsia"/>
          <w:szCs w:val="24"/>
        </w:rPr>
        <w:t xml:space="preserve"> Rural Health Clinics</w:t>
      </w:r>
      <w:r w:rsidR="00673C22" w:rsidRPr="00DA7FA2">
        <w:rPr>
          <w:rFonts w:eastAsiaTheme="minorEastAsia"/>
          <w:szCs w:val="24"/>
        </w:rPr>
        <w:t xml:space="preserve"> &amp; Critical Access Hospitals</w:t>
      </w:r>
    </w:p>
    <w:p w:rsidR="00FC5368" w:rsidRPr="00DA7FA2" w:rsidRDefault="00FC5368" w:rsidP="00F7389C">
      <w:pPr>
        <w:pStyle w:val="NoSpacing"/>
        <w:rPr>
          <w:szCs w:val="24"/>
        </w:rPr>
      </w:pPr>
    </w:p>
    <w:p w:rsidR="00FC5368" w:rsidRPr="00DA7FA2" w:rsidRDefault="00FC5368" w:rsidP="00F7389C">
      <w:pPr>
        <w:pStyle w:val="NoSpacing"/>
        <w:rPr>
          <w:szCs w:val="24"/>
        </w:rPr>
      </w:pPr>
      <w:r w:rsidRPr="00DA7FA2">
        <w:rPr>
          <w:rFonts w:eastAsiaTheme="minorEastAsia"/>
          <w:b/>
          <w:bCs/>
          <w:szCs w:val="24"/>
        </w:rPr>
        <w:t xml:space="preserve">FROM:  </w:t>
      </w:r>
      <w:r w:rsidR="00D02E61" w:rsidRPr="00DA7FA2">
        <w:rPr>
          <w:b/>
          <w:szCs w:val="24"/>
        </w:rPr>
        <w:tab/>
      </w:r>
      <w:r w:rsidR="0041736E" w:rsidRPr="00DA7FA2">
        <w:rPr>
          <w:rFonts w:eastAsiaTheme="minorEastAsia"/>
          <w:szCs w:val="24"/>
        </w:rPr>
        <w:t xml:space="preserve">Cheri Rinehart, </w:t>
      </w:r>
      <w:r w:rsidR="00D56D27" w:rsidRPr="00DA7FA2">
        <w:rPr>
          <w:rFonts w:eastAsiaTheme="minorEastAsia"/>
          <w:szCs w:val="24"/>
        </w:rPr>
        <w:t>President &amp;</w:t>
      </w:r>
      <w:r w:rsidR="0041736E" w:rsidRPr="00DA7FA2">
        <w:rPr>
          <w:rFonts w:eastAsiaTheme="minorEastAsia"/>
          <w:szCs w:val="24"/>
        </w:rPr>
        <w:t xml:space="preserve"> CEO</w:t>
      </w:r>
    </w:p>
    <w:p w:rsidR="00FC5368" w:rsidRPr="00DA7FA2" w:rsidRDefault="00FC5368" w:rsidP="00F7389C">
      <w:pPr>
        <w:pStyle w:val="NoSpacing"/>
        <w:rPr>
          <w:szCs w:val="24"/>
        </w:rPr>
      </w:pPr>
    </w:p>
    <w:p w:rsidR="00FC5368" w:rsidRPr="0090287F" w:rsidRDefault="00FC5368" w:rsidP="00F7389C">
      <w:pPr>
        <w:pStyle w:val="NoSpacing"/>
        <w:rPr>
          <w:szCs w:val="24"/>
        </w:rPr>
      </w:pPr>
      <w:r w:rsidRPr="00DA7FA2">
        <w:rPr>
          <w:rFonts w:eastAsiaTheme="minorEastAsia"/>
          <w:b/>
          <w:bCs/>
          <w:szCs w:val="24"/>
        </w:rPr>
        <w:t xml:space="preserve">SUBJECT:  </w:t>
      </w:r>
      <w:r w:rsidR="00D02E61" w:rsidRPr="00DA7FA2">
        <w:rPr>
          <w:b/>
          <w:szCs w:val="24"/>
        </w:rPr>
        <w:tab/>
      </w:r>
      <w:r w:rsidR="0090287F" w:rsidRPr="0090287F">
        <w:rPr>
          <w:szCs w:val="24"/>
        </w:rPr>
        <w:t>Department of Labor Final Overtime Rule</w:t>
      </w:r>
    </w:p>
    <w:p w:rsidR="00FC5368" w:rsidRPr="00DA7FA2" w:rsidRDefault="00FC5368" w:rsidP="00F7389C">
      <w:pPr>
        <w:pStyle w:val="NoSpacing"/>
        <w:rPr>
          <w:szCs w:val="24"/>
        </w:rPr>
      </w:pPr>
    </w:p>
    <w:p w:rsidR="00590315" w:rsidRPr="00DA7FA2" w:rsidRDefault="00262651" w:rsidP="00F7389C">
      <w:pPr>
        <w:pStyle w:val="NoSpacing"/>
        <w:rPr>
          <w:color w:val="000000"/>
          <w:szCs w:val="24"/>
          <w:lang w:val="en"/>
        </w:rPr>
      </w:pPr>
      <w:r w:rsidRPr="00DA7FA2">
        <w:rPr>
          <w:rFonts w:eastAsiaTheme="minorEastAsia"/>
          <w:b/>
          <w:bCs/>
          <w:szCs w:val="24"/>
        </w:rPr>
        <w:t>SUMMARY:</w:t>
      </w:r>
      <w:r w:rsidRPr="00DA7FA2">
        <w:rPr>
          <w:rFonts w:eastAsiaTheme="minorEastAsia"/>
          <w:szCs w:val="24"/>
        </w:rPr>
        <w:t xml:space="preserve">  </w:t>
      </w:r>
      <w:r w:rsidR="009B728C" w:rsidRPr="00DA7FA2">
        <w:rPr>
          <w:rFonts w:eastAsiaTheme="minorEastAsia"/>
          <w:szCs w:val="24"/>
        </w:rPr>
        <w:t xml:space="preserve"> </w:t>
      </w:r>
      <w:r w:rsidR="00590315" w:rsidRPr="00DA7FA2">
        <w:rPr>
          <w:rFonts w:eastAsiaTheme="minorEastAsia"/>
          <w:color w:val="000000"/>
          <w:szCs w:val="24"/>
          <w:lang w:val="en"/>
        </w:rPr>
        <w:t>On May 18, 2016</w:t>
      </w:r>
      <w:r w:rsidR="008577B9" w:rsidRPr="00DA7FA2">
        <w:rPr>
          <w:rFonts w:eastAsiaTheme="minorEastAsia"/>
          <w:color w:val="000000"/>
          <w:szCs w:val="24"/>
          <w:lang w:val="en"/>
        </w:rPr>
        <w:t xml:space="preserve">, </w:t>
      </w:r>
      <w:r w:rsidR="00590315" w:rsidRPr="00DA7FA2">
        <w:rPr>
          <w:rFonts w:eastAsiaTheme="minorEastAsia"/>
          <w:color w:val="000000"/>
          <w:szCs w:val="24"/>
          <w:lang w:val="en"/>
        </w:rPr>
        <w:t>the Department of Labor</w:t>
      </w:r>
      <w:r w:rsidR="00D33C5E">
        <w:rPr>
          <w:rFonts w:eastAsiaTheme="minorEastAsia"/>
          <w:color w:val="000000"/>
          <w:szCs w:val="24"/>
          <w:lang w:val="en"/>
        </w:rPr>
        <w:t xml:space="preserve"> </w:t>
      </w:r>
      <w:r w:rsidR="008149F1">
        <w:rPr>
          <w:rFonts w:eastAsiaTheme="minorEastAsia"/>
          <w:color w:val="000000"/>
          <w:szCs w:val="24"/>
          <w:lang w:val="en"/>
        </w:rPr>
        <w:t xml:space="preserve">(DOL) </w:t>
      </w:r>
      <w:r w:rsidR="00D33C5E">
        <w:rPr>
          <w:rFonts w:eastAsiaTheme="minorEastAsia"/>
          <w:color w:val="000000"/>
          <w:szCs w:val="24"/>
          <w:lang w:val="en"/>
        </w:rPr>
        <w:t>published its</w:t>
      </w:r>
      <w:r w:rsidR="00590315" w:rsidRPr="00DA7FA2">
        <w:rPr>
          <w:rFonts w:eastAsiaTheme="minorEastAsia"/>
          <w:color w:val="000000"/>
          <w:szCs w:val="24"/>
          <w:lang w:val="en"/>
        </w:rPr>
        <w:t xml:space="preserve"> final rule updating the overtime regulations</w:t>
      </w:r>
      <w:r w:rsidR="00E448C6">
        <w:rPr>
          <w:rFonts w:eastAsiaTheme="minorEastAsia"/>
          <w:color w:val="000000"/>
          <w:szCs w:val="24"/>
          <w:lang w:val="en"/>
        </w:rPr>
        <w:t>.</w:t>
      </w:r>
      <w:r w:rsidR="00590315" w:rsidRPr="00DA7FA2">
        <w:rPr>
          <w:rFonts w:eastAsiaTheme="minorEastAsia"/>
          <w:color w:val="000000"/>
          <w:szCs w:val="24"/>
          <w:lang w:val="en"/>
        </w:rPr>
        <w:t xml:space="preserve"> </w:t>
      </w:r>
      <w:r w:rsidR="00E448C6">
        <w:rPr>
          <w:rFonts w:eastAsiaTheme="minorEastAsia"/>
          <w:color w:val="000000"/>
          <w:szCs w:val="24"/>
          <w:lang w:val="en"/>
        </w:rPr>
        <w:t xml:space="preserve">The rule </w:t>
      </w:r>
      <w:r w:rsidR="00590315" w:rsidRPr="00DA7FA2">
        <w:rPr>
          <w:rFonts w:eastAsiaTheme="minorEastAsia"/>
          <w:color w:val="000000"/>
          <w:szCs w:val="24"/>
          <w:lang w:val="en"/>
        </w:rPr>
        <w:t>extend</w:t>
      </w:r>
      <w:r w:rsidR="00E448C6">
        <w:rPr>
          <w:rFonts w:eastAsiaTheme="minorEastAsia"/>
          <w:color w:val="000000"/>
          <w:szCs w:val="24"/>
          <w:lang w:val="en"/>
        </w:rPr>
        <w:t>s</w:t>
      </w:r>
      <w:r w:rsidR="00590315" w:rsidRPr="00DA7FA2">
        <w:rPr>
          <w:rFonts w:eastAsiaTheme="minorEastAsia"/>
          <w:color w:val="000000"/>
          <w:szCs w:val="24"/>
          <w:lang w:val="en"/>
        </w:rPr>
        <w:t xml:space="preserve"> overtime pay protections to </w:t>
      </w:r>
      <w:r w:rsidR="00E448C6">
        <w:rPr>
          <w:rFonts w:eastAsiaTheme="minorEastAsia"/>
          <w:color w:val="000000"/>
          <w:szCs w:val="24"/>
          <w:lang w:val="en"/>
        </w:rPr>
        <w:t xml:space="preserve">an estimated </w:t>
      </w:r>
      <w:r w:rsidR="00590315" w:rsidRPr="00DA7FA2">
        <w:rPr>
          <w:rFonts w:eastAsiaTheme="minorEastAsia"/>
          <w:color w:val="000000"/>
          <w:szCs w:val="24"/>
          <w:lang w:val="en"/>
        </w:rPr>
        <w:t>4 million workers</w:t>
      </w:r>
      <w:r w:rsidR="00E448C6">
        <w:rPr>
          <w:rFonts w:eastAsiaTheme="minorEastAsia"/>
          <w:color w:val="000000"/>
          <w:szCs w:val="24"/>
          <w:lang w:val="en"/>
        </w:rPr>
        <w:t xml:space="preserve"> nationwide by </w:t>
      </w:r>
      <w:r w:rsidR="00E448C6" w:rsidRPr="003904FB">
        <w:rPr>
          <w:szCs w:val="24"/>
        </w:rPr>
        <w:t>doubl</w:t>
      </w:r>
      <w:r w:rsidR="00E448C6">
        <w:rPr>
          <w:szCs w:val="24"/>
        </w:rPr>
        <w:t>ing</w:t>
      </w:r>
      <w:r w:rsidR="00E448C6" w:rsidRPr="003904FB">
        <w:rPr>
          <w:szCs w:val="24"/>
        </w:rPr>
        <w:t xml:space="preserve"> the salary level, from $23,660 to $47,476, under which employees working more than 40 hours a week must be paid overtime.</w:t>
      </w:r>
      <w:r w:rsidR="00E448C6">
        <w:rPr>
          <w:szCs w:val="24"/>
        </w:rPr>
        <w:t xml:space="preserve">  The effective date of the final rule is </w:t>
      </w:r>
      <w:r w:rsidR="00D33C5E">
        <w:rPr>
          <w:rFonts w:eastAsiaTheme="minorEastAsia"/>
          <w:color w:val="000000"/>
          <w:szCs w:val="24"/>
          <w:lang w:val="en"/>
        </w:rPr>
        <w:t>Dec. 1, 2016.</w:t>
      </w:r>
    </w:p>
    <w:p w:rsidR="008C5B09" w:rsidRPr="00DA7FA2" w:rsidRDefault="008C5B09" w:rsidP="00F7389C">
      <w:pPr>
        <w:pStyle w:val="NoSpacing"/>
        <w:rPr>
          <w:b/>
          <w:szCs w:val="24"/>
        </w:rPr>
      </w:pPr>
    </w:p>
    <w:p w:rsidR="00F7389C" w:rsidRPr="00DA7FA2" w:rsidRDefault="00262651" w:rsidP="00F7389C">
      <w:pPr>
        <w:pStyle w:val="NoSpacing"/>
        <w:rPr>
          <w:szCs w:val="24"/>
        </w:rPr>
      </w:pPr>
      <w:r w:rsidRPr="00DA7FA2">
        <w:rPr>
          <w:rFonts w:eastAsiaTheme="minorEastAsia"/>
          <w:b/>
          <w:bCs/>
          <w:szCs w:val="24"/>
        </w:rPr>
        <w:t>BACKGROUND:</w:t>
      </w:r>
      <w:r w:rsidRPr="00DA7FA2">
        <w:rPr>
          <w:rFonts w:eastAsiaTheme="minorEastAsia"/>
          <w:szCs w:val="24"/>
        </w:rPr>
        <w:t xml:space="preserve">  </w:t>
      </w:r>
    </w:p>
    <w:p w:rsidR="00045296" w:rsidRDefault="00590315" w:rsidP="00F7389C">
      <w:pPr>
        <w:pStyle w:val="NoSpacing"/>
        <w:rPr>
          <w:rFonts w:eastAsiaTheme="minorEastAsia"/>
          <w:color w:val="000000"/>
          <w:szCs w:val="24"/>
          <w:lang w:val="en"/>
        </w:rPr>
      </w:pPr>
      <w:r w:rsidRPr="00DA7FA2">
        <w:rPr>
          <w:rFonts w:eastAsiaTheme="minorEastAsia"/>
          <w:color w:val="000000"/>
          <w:szCs w:val="24"/>
          <w:lang w:val="en"/>
        </w:rPr>
        <w:t xml:space="preserve">In 2014, President Obama signed a Presidential Memorandum directing </w:t>
      </w:r>
      <w:r w:rsidR="008149F1">
        <w:rPr>
          <w:rFonts w:eastAsiaTheme="minorEastAsia"/>
          <w:color w:val="000000"/>
          <w:szCs w:val="24"/>
          <w:lang w:val="en"/>
        </w:rPr>
        <w:t>DOL</w:t>
      </w:r>
      <w:r w:rsidRPr="00DA7FA2">
        <w:rPr>
          <w:rFonts w:eastAsiaTheme="minorEastAsia"/>
          <w:color w:val="000000"/>
          <w:szCs w:val="24"/>
          <w:lang w:val="en"/>
        </w:rPr>
        <w:t xml:space="preserve"> to update the regulations defining which white collar workers are protected by the F</w:t>
      </w:r>
      <w:r w:rsidR="0A0E8FF4" w:rsidRPr="00DA7FA2">
        <w:rPr>
          <w:rFonts w:eastAsiaTheme="minorEastAsia"/>
          <w:color w:val="000000"/>
          <w:szCs w:val="24"/>
          <w:lang w:val="en"/>
        </w:rPr>
        <w:t>air Labo</w:t>
      </w:r>
      <w:r w:rsidR="66781A75" w:rsidRPr="00DA7FA2">
        <w:rPr>
          <w:rFonts w:eastAsiaTheme="minorEastAsia"/>
          <w:color w:val="000000"/>
          <w:szCs w:val="24"/>
          <w:lang w:val="en"/>
        </w:rPr>
        <w:t>r St</w:t>
      </w:r>
      <w:r w:rsidR="66781A75" w:rsidRPr="00DA7FA2">
        <w:rPr>
          <w:rFonts w:eastAsiaTheme="minorEastAsia"/>
          <w:color w:val="000000" w:themeColor="text1"/>
          <w:szCs w:val="24"/>
          <w:lang w:val="en"/>
        </w:rPr>
        <w:t>andards Act's (</w:t>
      </w:r>
      <w:r w:rsidR="0A0E8FF4" w:rsidRPr="00DA7FA2">
        <w:rPr>
          <w:rFonts w:eastAsiaTheme="minorEastAsia"/>
          <w:color w:val="000000"/>
          <w:szCs w:val="24"/>
          <w:lang w:val="en"/>
        </w:rPr>
        <w:t>F</w:t>
      </w:r>
      <w:r w:rsidRPr="00DA7FA2">
        <w:rPr>
          <w:rFonts w:eastAsiaTheme="minorEastAsia"/>
          <w:color w:val="000000"/>
          <w:szCs w:val="24"/>
          <w:lang w:val="en"/>
        </w:rPr>
        <w:t>LSA</w:t>
      </w:r>
      <w:r w:rsidR="66781A75" w:rsidRPr="00DA7FA2">
        <w:rPr>
          <w:rFonts w:eastAsiaTheme="minorEastAsia"/>
          <w:color w:val="000000"/>
          <w:szCs w:val="24"/>
          <w:lang w:val="en"/>
        </w:rPr>
        <w:t>)</w:t>
      </w:r>
      <w:r w:rsidRPr="00DA7FA2">
        <w:rPr>
          <w:rFonts w:eastAsiaTheme="minorEastAsia"/>
          <w:color w:val="000000"/>
          <w:szCs w:val="24"/>
          <w:lang w:val="en"/>
        </w:rPr>
        <w:t xml:space="preserve"> minimum wage and overtime standards. </w:t>
      </w:r>
      <w:r w:rsidR="00E448C6">
        <w:rPr>
          <w:rFonts w:eastAsiaTheme="minorEastAsia"/>
          <w:color w:val="000000"/>
          <w:szCs w:val="24"/>
          <w:lang w:val="en"/>
        </w:rPr>
        <w:t>T</w:t>
      </w:r>
      <w:r w:rsidRPr="00DA7FA2">
        <w:rPr>
          <w:rFonts w:eastAsiaTheme="minorEastAsia"/>
          <w:color w:val="000000"/>
          <w:szCs w:val="24"/>
          <w:lang w:val="en"/>
        </w:rPr>
        <w:t xml:space="preserve">he memorandum instructed </w:t>
      </w:r>
      <w:r w:rsidR="008149F1">
        <w:rPr>
          <w:rFonts w:eastAsiaTheme="minorEastAsia"/>
          <w:color w:val="000000"/>
          <w:szCs w:val="24"/>
          <w:lang w:val="en"/>
        </w:rPr>
        <w:t>DOL</w:t>
      </w:r>
      <w:r w:rsidRPr="00DA7FA2">
        <w:rPr>
          <w:rFonts w:eastAsiaTheme="minorEastAsia"/>
          <w:color w:val="000000"/>
          <w:szCs w:val="24"/>
          <w:lang w:val="en"/>
        </w:rPr>
        <w:t xml:space="preserve"> to look for ways to modernize and simplify the regulations while ensuring that the FLSA's intended overtime protections </w:t>
      </w:r>
      <w:r w:rsidR="00D06548">
        <w:rPr>
          <w:rFonts w:eastAsiaTheme="minorEastAsia"/>
          <w:color w:val="000000"/>
          <w:szCs w:val="24"/>
          <w:lang w:val="en"/>
        </w:rPr>
        <w:t>we</w:t>
      </w:r>
      <w:r w:rsidRPr="00DA7FA2">
        <w:rPr>
          <w:rFonts w:eastAsiaTheme="minorEastAsia"/>
          <w:color w:val="000000"/>
          <w:szCs w:val="24"/>
          <w:lang w:val="en"/>
        </w:rPr>
        <w:t>re fully implemented.</w:t>
      </w:r>
      <w:r w:rsidR="00E448C6">
        <w:rPr>
          <w:rFonts w:eastAsiaTheme="minorEastAsia"/>
          <w:color w:val="000000"/>
          <w:szCs w:val="24"/>
          <w:lang w:val="en"/>
        </w:rPr>
        <w:t xml:space="preserve">  In July 2015, DOL published a proposed rule.  The Department received over 277,000 comments in response to that proposed rule, but in large part stuck to its proposals in the final rule.  </w:t>
      </w:r>
    </w:p>
    <w:p w:rsidR="00E448C6" w:rsidRPr="00DA7FA2" w:rsidRDefault="00E448C6" w:rsidP="00F7389C">
      <w:pPr>
        <w:pStyle w:val="NoSpacing"/>
        <w:rPr>
          <w:szCs w:val="24"/>
        </w:rPr>
      </w:pPr>
    </w:p>
    <w:p w:rsidR="00045296" w:rsidRPr="00DA7FA2" w:rsidRDefault="00791E6B" w:rsidP="00F7389C">
      <w:pPr>
        <w:pStyle w:val="NoSpacing"/>
        <w:rPr>
          <w:b/>
          <w:szCs w:val="24"/>
        </w:rPr>
      </w:pPr>
      <w:r>
        <w:rPr>
          <w:rFonts w:eastAsiaTheme="minorEastAsia"/>
          <w:b/>
          <w:bCs/>
          <w:szCs w:val="24"/>
        </w:rPr>
        <w:t>KEY PROVISIONS OF THE FINAL RULE</w:t>
      </w:r>
      <w:r w:rsidR="006578A2" w:rsidRPr="00DA7FA2">
        <w:rPr>
          <w:rFonts w:eastAsiaTheme="minorEastAsia"/>
          <w:b/>
          <w:bCs/>
          <w:szCs w:val="24"/>
        </w:rPr>
        <w:t xml:space="preserve">:  </w:t>
      </w:r>
    </w:p>
    <w:p w:rsidR="00590315" w:rsidRPr="00DA7FA2" w:rsidRDefault="00F064CA" w:rsidP="008149F1">
      <w:pPr>
        <w:shd w:val="clear" w:color="auto" w:fill="FFFFFF" w:themeFill="background1"/>
        <w:spacing w:before="100" w:beforeAutospacing="1" w:after="75"/>
        <w:rPr>
          <w:rFonts w:ascii="Times New Roman" w:eastAsia="Times New Roman" w:hAnsi="Times New Roman"/>
          <w:color w:val="000000"/>
          <w:sz w:val="24"/>
          <w:szCs w:val="24"/>
          <w:lang w:val="en"/>
        </w:rPr>
      </w:pPr>
      <w:r w:rsidRPr="00DA7FA2">
        <w:rPr>
          <w:rFonts w:ascii="Times New Roman" w:eastAsiaTheme="minorEastAsia" w:hAnsi="Times New Roman"/>
          <w:color w:val="000000"/>
          <w:sz w:val="24"/>
          <w:szCs w:val="24"/>
          <w:lang w:val="en"/>
        </w:rPr>
        <w:t>The final</w:t>
      </w:r>
      <w:r w:rsidR="008577B9" w:rsidRPr="00DA7FA2">
        <w:rPr>
          <w:rFonts w:ascii="Times New Roman" w:eastAsiaTheme="minorEastAsia" w:hAnsi="Times New Roman"/>
          <w:color w:val="000000"/>
          <w:sz w:val="24"/>
          <w:szCs w:val="24"/>
          <w:lang w:val="en"/>
        </w:rPr>
        <w:t xml:space="preserve"> rule</w:t>
      </w:r>
      <w:r w:rsidR="45F76F1E" w:rsidRPr="00DA7FA2">
        <w:rPr>
          <w:rFonts w:ascii="Times New Roman" w:eastAsiaTheme="minorEastAsia" w:hAnsi="Times New Roman"/>
          <w:color w:val="000000"/>
          <w:sz w:val="24"/>
          <w:szCs w:val="24"/>
          <w:lang w:val="en"/>
        </w:rPr>
        <w:t xml:space="preserve"> </w:t>
      </w:r>
      <w:r w:rsidR="00590315" w:rsidRPr="00DA7FA2">
        <w:rPr>
          <w:rFonts w:ascii="Times New Roman" w:eastAsiaTheme="minorEastAsia" w:hAnsi="Times New Roman"/>
          <w:color w:val="000000"/>
          <w:sz w:val="24"/>
          <w:szCs w:val="24"/>
          <w:lang w:val="en"/>
        </w:rPr>
        <w:t>focuses primar</w:t>
      </w:r>
      <w:r w:rsidR="7A58BA02" w:rsidRPr="00DA7FA2">
        <w:rPr>
          <w:rFonts w:ascii="Times New Roman" w:eastAsiaTheme="minorEastAsia" w:hAnsi="Times New Roman"/>
          <w:color w:val="000000"/>
          <w:sz w:val="24"/>
          <w:szCs w:val="24"/>
          <w:lang w:val="en"/>
        </w:rPr>
        <w:t>i</w:t>
      </w:r>
      <w:r w:rsidR="6B8FE465" w:rsidRPr="00DA7FA2">
        <w:rPr>
          <w:rFonts w:ascii="Times New Roman" w:eastAsiaTheme="minorEastAsia" w:hAnsi="Times New Roman"/>
          <w:color w:val="000000"/>
          <w:sz w:val="24"/>
          <w:szCs w:val="24"/>
          <w:lang w:val="en"/>
        </w:rPr>
        <w:t>ly</w:t>
      </w:r>
      <w:r w:rsidR="00590315" w:rsidRPr="00DA7FA2">
        <w:rPr>
          <w:rFonts w:ascii="Times New Roman" w:eastAsiaTheme="minorEastAsia" w:hAnsi="Times New Roman"/>
          <w:color w:val="000000"/>
          <w:sz w:val="24"/>
          <w:szCs w:val="24"/>
          <w:lang w:val="en"/>
        </w:rPr>
        <w:t xml:space="preserve"> on updating the salary and compensation levels needed for </w:t>
      </w:r>
      <w:r w:rsidR="008577B9" w:rsidRPr="00DA7FA2">
        <w:rPr>
          <w:rFonts w:ascii="Times New Roman" w:eastAsiaTheme="minorEastAsia" w:hAnsi="Times New Roman"/>
          <w:color w:val="000000"/>
          <w:sz w:val="24"/>
          <w:szCs w:val="24"/>
          <w:lang w:val="en"/>
        </w:rPr>
        <w:t>e</w:t>
      </w:r>
      <w:r w:rsidR="00590315" w:rsidRPr="00DA7FA2">
        <w:rPr>
          <w:rFonts w:ascii="Times New Roman" w:eastAsiaTheme="minorEastAsia" w:hAnsi="Times New Roman"/>
          <w:color w:val="000000"/>
          <w:sz w:val="24"/>
          <w:szCs w:val="24"/>
          <w:lang w:val="en"/>
        </w:rPr>
        <w:t xml:space="preserve">xecutive, </w:t>
      </w:r>
      <w:r w:rsidR="008577B9" w:rsidRPr="00DA7FA2">
        <w:rPr>
          <w:rFonts w:ascii="Times New Roman" w:eastAsiaTheme="minorEastAsia" w:hAnsi="Times New Roman"/>
          <w:color w:val="000000"/>
          <w:sz w:val="24"/>
          <w:szCs w:val="24"/>
          <w:lang w:val="en"/>
        </w:rPr>
        <w:t>a</w:t>
      </w:r>
      <w:r w:rsidRPr="00DA7FA2">
        <w:rPr>
          <w:rFonts w:ascii="Times New Roman" w:eastAsiaTheme="minorEastAsia" w:hAnsi="Times New Roman"/>
          <w:color w:val="000000"/>
          <w:sz w:val="24"/>
          <w:szCs w:val="24"/>
          <w:lang w:val="en"/>
        </w:rPr>
        <w:t xml:space="preserve">dministrative, highly compensated </w:t>
      </w:r>
      <w:r w:rsidR="00590315" w:rsidRPr="00DA7FA2">
        <w:rPr>
          <w:rFonts w:ascii="Times New Roman" w:eastAsiaTheme="minorEastAsia" w:hAnsi="Times New Roman"/>
          <w:color w:val="000000"/>
          <w:sz w:val="24"/>
          <w:szCs w:val="24"/>
          <w:lang w:val="en"/>
        </w:rPr>
        <w:t xml:space="preserve">and </w:t>
      </w:r>
      <w:r w:rsidR="008577B9" w:rsidRPr="00DA7FA2">
        <w:rPr>
          <w:rFonts w:ascii="Times New Roman" w:eastAsiaTheme="minorEastAsia" w:hAnsi="Times New Roman"/>
          <w:color w:val="000000"/>
          <w:sz w:val="24"/>
          <w:szCs w:val="24"/>
          <w:lang w:val="en"/>
        </w:rPr>
        <w:t>p</w:t>
      </w:r>
      <w:r w:rsidR="00590315" w:rsidRPr="00DA7FA2">
        <w:rPr>
          <w:rFonts w:ascii="Times New Roman" w:eastAsiaTheme="minorEastAsia" w:hAnsi="Times New Roman"/>
          <w:color w:val="000000"/>
          <w:sz w:val="24"/>
          <w:szCs w:val="24"/>
          <w:lang w:val="en"/>
        </w:rPr>
        <w:t xml:space="preserve">rofessional workers to be exempt. Specifically, the </w:t>
      </w:r>
      <w:r w:rsidR="008149F1">
        <w:rPr>
          <w:rFonts w:ascii="Times New Roman" w:eastAsiaTheme="minorEastAsia" w:hAnsi="Times New Roman"/>
          <w:color w:val="000000"/>
          <w:sz w:val="24"/>
          <w:szCs w:val="24"/>
          <w:lang w:val="en"/>
        </w:rPr>
        <w:t>f</w:t>
      </w:r>
      <w:r w:rsidR="00590315" w:rsidRPr="00DA7FA2">
        <w:rPr>
          <w:rFonts w:ascii="Times New Roman" w:eastAsiaTheme="minorEastAsia" w:hAnsi="Times New Roman"/>
          <w:color w:val="000000"/>
          <w:sz w:val="24"/>
          <w:szCs w:val="24"/>
          <w:lang w:val="en"/>
        </w:rPr>
        <w:t xml:space="preserve">inal </w:t>
      </w:r>
      <w:r w:rsidR="008149F1">
        <w:rPr>
          <w:rFonts w:ascii="Times New Roman" w:eastAsiaTheme="minorEastAsia" w:hAnsi="Times New Roman"/>
          <w:color w:val="000000"/>
          <w:sz w:val="24"/>
          <w:szCs w:val="24"/>
          <w:lang w:val="en"/>
        </w:rPr>
        <w:t>r</w:t>
      </w:r>
      <w:r w:rsidR="00590315" w:rsidRPr="00DA7FA2">
        <w:rPr>
          <w:rFonts w:ascii="Times New Roman" w:eastAsiaTheme="minorEastAsia" w:hAnsi="Times New Roman"/>
          <w:color w:val="000000"/>
          <w:sz w:val="24"/>
          <w:szCs w:val="24"/>
          <w:lang w:val="en"/>
        </w:rPr>
        <w:t>ule:</w:t>
      </w:r>
    </w:p>
    <w:p w:rsidR="00590315" w:rsidRPr="00DA7FA2" w:rsidRDefault="00590315" w:rsidP="00F064CA">
      <w:pPr>
        <w:numPr>
          <w:ilvl w:val="0"/>
          <w:numId w:val="18"/>
        </w:numPr>
        <w:shd w:val="clear" w:color="auto" w:fill="FFFFFF" w:themeFill="background1"/>
        <w:spacing w:before="100" w:beforeAutospacing="1" w:after="60"/>
        <w:ind w:left="450"/>
        <w:rPr>
          <w:rFonts w:ascii="Times New Roman" w:eastAsiaTheme="minorEastAsia" w:hAnsi="Times New Roman"/>
          <w:color w:val="000000"/>
          <w:sz w:val="24"/>
          <w:szCs w:val="24"/>
          <w:lang w:val="en"/>
        </w:rPr>
      </w:pPr>
      <w:r w:rsidRPr="00DA7FA2">
        <w:rPr>
          <w:rFonts w:ascii="Times New Roman" w:eastAsiaTheme="minorEastAsia" w:hAnsi="Times New Roman"/>
          <w:color w:val="000000"/>
          <w:sz w:val="24"/>
          <w:szCs w:val="24"/>
          <w:lang w:val="en"/>
        </w:rPr>
        <w:t xml:space="preserve">Sets the standard salary level at the 40th percentile of earnings of full-time salaried workers in the lowest-wage </w:t>
      </w:r>
      <w:r w:rsidR="008149F1">
        <w:rPr>
          <w:rFonts w:ascii="Times New Roman" w:eastAsiaTheme="minorEastAsia" w:hAnsi="Times New Roman"/>
          <w:color w:val="000000"/>
          <w:sz w:val="24"/>
          <w:szCs w:val="24"/>
          <w:lang w:val="en"/>
        </w:rPr>
        <w:t>c</w:t>
      </w:r>
      <w:r w:rsidRPr="00DA7FA2">
        <w:rPr>
          <w:rFonts w:ascii="Times New Roman" w:eastAsiaTheme="minorEastAsia" w:hAnsi="Times New Roman"/>
          <w:color w:val="000000"/>
          <w:sz w:val="24"/>
          <w:szCs w:val="24"/>
          <w:lang w:val="en"/>
        </w:rPr>
        <w:t xml:space="preserve">ensus </w:t>
      </w:r>
      <w:r w:rsidR="008149F1">
        <w:rPr>
          <w:rFonts w:ascii="Times New Roman" w:eastAsiaTheme="minorEastAsia" w:hAnsi="Times New Roman"/>
          <w:color w:val="000000"/>
          <w:sz w:val="24"/>
          <w:szCs w:val="24"/>
          <w:lang w:val="en"/>
        </w:rPr>
        <w:t>r</w:t>
      </w:r>
      <w:r w:rsidRPr="00DA7FA2">
        <w:rPr>
          <w:rFonts w:ascii="Times New Roman" w:eastAsiaTheme="minorEastAsia" w:hAnsi="Times New Roman"/>
          <w:color w:val="000000"/>
          <w:sz w:val="24"/>
          <w:szCs w:val="24"/>
          <w:lang w:val="en"/>
        </w:rPr>
        <w:t>egion, currently the South ($913 per week; $47,476 annually for a full-year worker);</w:t>
      </w:r>
    </w:p>
    <w:p w:rsidR="00590315" w:rsidRPr="00DA7FA2" w:rsidRDefault="00590315" w:rsidP="00F064CA">
      <w:pPr>
        <w:numPr>
          <w:ilvl w:val="0"/>
          <w:numId w:val="18"/>
        </w:numPr>
        <w:shd w:val="clear" w:color="auto" w:fill="FFFFFF" w:themeFill="background1"/>
        <w:spacing w:before="100" w:beforeAutospacing="1" w:after="60"/>
        <w:ind w:left="450"/>
        <w:rPr>
          <w:rFonts w:ascii="Times New Roman" w:eastAsiaTheme="minorEastAsia" w:hAnsi="Times New Roman"/>
          <w:color w:val="000000"/>
          <w:sz w:val="24"/>
          <w:szCs w:val="24"/>
          <w:lang w:val="en"/>
        </w:rPr>
      </w:pPr>
      <w:r w:rsidRPr="00DA7FA2">
        <w:rPr>
          <w:rFonts w:ascii="Times New Roman" w:eastAsiaTheme="minorEastAsia" w:hAnsi="Times New Roman"/>
          <w:color w:val="000000"/>
          <w:sz w:val="24"/>
          <w:szCs w:val="24"/>
          <w:lang w:val="en"/>
        </w:rPr>
        <w:t>Sets the total annual compensation requirement for highly compensated employees (HCE) subject to a minimal duties test to the annual equivalent of the 90th percentile of full-time salaried workers nationally ($134,004); and</w:t>
      </w:r>
    </w:p>
    <w:p w:rsidR="00590315" w:rsidRPr="00DA7FA2" w:rsidRDefault="00590315" w:rsidP="00F064CA">
      <w:pPr>
        <w:numPr>
          <w:ilvl w:val="0"/>
          <w:numId w:val="18"/>
        </w:numPr>
        <w:shd w:val="clear" w:color="auto" w:fill="FFFFFF" w:themeFill="background1"/>
        <w:spacing w:before="100" w:beforeAutospacing="1" w:after="60"/>
        <w:ind w:left="450"/>
        <w:rPr>
          <w:rFonts w:ascii="Times New Roman" w:eastAsiaTheme="minorEastAsia" w:hAnsi="Times New Roman"/>
          <w:color w:val="000000"/>
          <w:sz w:val="24"/>
          <w:szCs w:val="24"/>
          <w:lang w:val="en"/>
        </w:rPr>
      </w:pPr>
      <w:r w:rsidRPr="00DA7FA2">
        <w:rPr>
          <w:rFonts w:ascii="Times New Roman" w:eastAsiaTheme="minorEastAsia" w:hAnsi="Times New Roman"/>
          <w:color w:val="000000"/>
          <w:sz w:val="24"/>
          <w:szCs w:val="24"/>
          <w:lang w:val="en"/>
        </w:rPr>
        <w:lastRenderedPageBreak/>
        <w:t xml:space="preserve">Establishes a mechanism for automatically updating the salary and compensation levels every three years to maintain the levels at the </w:t>
      </w:r>
      <w:r w:rsidR="00DA4682">
        <w:rPr>
          <w:rFonts w:ascii="Times New Roman" w:eastAsiaTheme="minorEastAsia" w:hAnsi="Times New Roman"/>
          <w:color w:val="000000"/>
          <w:sz w:val="24"/>
          <w:szCs w:val="24"/>
          <w:lang w:val="en"/>
        </w:rPr>
        <w:t>aforementioned</w:t>
      </w:r>
      <w:r w:rsidR="00DA4682" w:rsidRPr="00DA7FA2">
        <w:rPr>
          <w:rFonts w:ascii="Times New Roman" w:eastAsiaTheme="minorEastAsia" w:hAnsi="Times New Roman"/>
          <w:color w:val="000000"/>
          <w:sz w:val="24"/>
          <w:szCs w:val="24"/>
          <w:lang w:val="en"/>
        </w:rPr>
        <w:t xml:space="preserve"> </w:t>
      </w:r>
      <w:r w:rsidRPr="00DA7FA2">
        <w:rPr>
          <w:rFonts w:ascii="Times New Roman" w:eastAsiaTheme="minorEastAsia" w:hAnsi="Times New Roman"/>
          <w:color w:val="000000"/>
          <w:sz w:val="24"/>
          <w:szCs w:val="24"/>
          <w:lang w:val="en"/>
        </w:rPr>
        <w:t>percentiles and to ensure that they continue to provide useful and effective tests for exemption.</w:t>
      </w:r>
    </w:p>
    <w:p w:rsidR="00590315" w:rsidRPr="007B0200" w:rsidRDefault="00590315" w:rsidP="008149F1">
      <w:pPr>
        <w:shd w:val="clear" w:color="auto" w:fill="FFFFFF" w:themeFill="background1"/>
        <w:spacing w:before="100" w:beforeAutospacing="1" w:after="75"/>
        <w:rPr>
          <w:rFonts w:ascii="Times New Roman" w:eastAsia="Times New Roman" w:hAnsi="Times New Roman"/>
          <w:color w:val="000000"/>
          <w:sz w:val="24"/>
          <w:szCs w:val="24"/>
          <w:lang w:val="en"/>
        </w:rPr>
      </w:pPr>
      <w:r w:rsidRPr="00DA7FA2">
        <w:rPr>
          <w:rFonts w:ascii="Times New Roman" w:eastAsiaTheme="minorEastAsia" w:hAnsi="Times New Roman"/>
          <w:color w:val="000000"/>
          <w:sz w:val="24"/>
          <w:szCs w:val="24"/>
          <w:lang w:val="en"/>
        </w:rPr>
        <w:t xml:space="preserve">Additionally, the </w:t>
      </w:r>
      <w:r w:rsidR="008577B9" w:rsidRPr="00DA7FA2">
        <w:rPr>
          <w:rFonts w:ascii="Times New Roman" w:eastAsiaTheme="minorEastAsia" w:hAnsi="Times New Roman"/>
          <w:color w:val="000000"/>
          <w:sz w:val="24"/>
          <w:szCs w:val="24"/>
          <w:lang w:val="en"/>
        </w:rPr>
        <w:t>f</w:t>
      </w:r>
      <w:r w:rsidRPr="00DA7FA2">
        <w:rPr>
          <w:rFonts w:ascii="Times New Roman" w:eastAsiaTheme="minorEastAsia" w:hAnsi="Times New Roman"/>
          <w:color w:val="000000"/>
          <w:sz w:val="24"/>
          <w:szCs w:val="24"/>
          <w:lang w:val="en"/>
        </w:rPr>
        <w:t xml:space="preserve">inal </w:t>
      </w:r>
      <w:r w:rsidR="008577B9" w:rsidRPr="00DA7FA2">
        <w:rPr>
          <w:rFonts w:ascii="Times New Roman" w:eastAsiaTheme="minorEastAsia" w:hAnsi="Times New Roman"/>
          <w:color w:val="000000"/>
          <w:sz w:val="24"/>
          <w:szCs w:val="24"/>
          <w:lang w:val="en"/>
        </w:rPr>
        <w:t>r</w:t>
      </w:r>
      <w:r w:rsidRPr="00DA7FA2">
        <w:rPr>
          <w:rFonts w:ascii="Times New Roman" w:eastAsiaTheme="minorEastAsia" w:hAnsi="Times New Roman"/>
          <w:color w:val="000000"/>
          <w:sz w:val="24"/>
          <w:szCs w:val="24"/>
          <w:lang w:val="en"/>
        </w:rPr>
        <w:t>ule amends the salary basis test to allow employers to use nondiscretionary bonuses and incentive payments (including commissions) to satisfy up to 10 percent of the new standard salary level.</w:t>
      </w:r>
      <w:r w:rsidR="007B0200">
        <w:rPr>
          <w:rFonts w:ascii="Times New Roman" w:eastAsiaTheme="minorEastAsia" w:hAnsi="Times New Roman"/>
          <w:color w:val="000000"/>
          <w:sz w:val="24"/>
          <w:szCs w:val="24"/>
          <w:lang w:val="en"/>
        </w:rPr>
        <w:t xml:space="preserve">  Also, </w:t>
      </w:r>
      <w:r w:rsidR="007B0200">
        <w:rPr>
          <w:rFonts w:ascii="Times New Roman" w:hAnsi="Times New Roman"/>
          <w:color w:val="000000"/>
          <w:sz w:val="24"/>
          <w:szCs w:val="24"/>
        </w:rPr>
        <w:t>w</w:t>
      </w:r>
      <w:r w:rsidR="007B0200" w:rsidRPr="007B0200">
        <w:rPr>
          <w:rFonts w:ascii="Times New Roman" w:hAnsi="Times New Roman"/>
          <w:color w:val="000000"/>
          <w:sz w:val="24"/>
          <w:szCs w:val="24"/>
        </w:rPr>
        <w:t>hether a worker is full-time or part-time, the standard salary level to qualify for exemption will be $913 per week</w:t>
      </w:r>
      <w:r w:rsidR="00711E18">
        <w:rPr>
          <w:rFonts w:ascii="Times New Roman" w:hAnsi="Times New Roman"/>
          <w:color w:val="000000"/>
          <w:sz w:val="24"/>
          <w:szCs w:val="24"/>
        </w:rPr>
        <w:t>.</w:t>
      </w:r>
    </w:p>
    <w:p w:rsidR="00590315" w:rsidRPr="00DA7FA2" w:rsidRDefault="00590315" w:rsidP="008149F1">
      <w:pPr>
        <w:shd w:val="clear" w:color="auto" w:fill="FFFFFF" w:themeFill="background1"/>
        <w:spacing w:before="100" w:beforeAutospacing="1" w:after="75"/>
        <w:rPr>
          <w:rFonts w:ascii="Times New Roman" w:eastAsia="Times New Roman" w:hAnsi="Times New Roman"/>
          <w:color w:val="000000"/>
          <w:sz w:val="24"/>
          <w:szCs w:val="24"/>
          <w:lang w:val="en"/>
        </w:rPr>
      </w:pPr>
      <w:r w:rsidRPr="00DA7FA2">
        <w:rPr>
          <w:rFonts w:ascii="Times New Roman" w:eastAsiaTheme="minorEastAsia" w:hAnsi="Times New Roman"/>
          <w:b/>
          <w:bCs/>
          <w:color w:val="000000"/>
          <w:sz w:val="24"/>
          <w:szCs w:val="24"/>
          <w:lang w:val="en"/>
        </w:rPr>
        <w:t>The effective date of the final rule is December 1, 2016.</w:t>
      </w:r>
      <w:r w:rsidRPr="00DA7FA2">
        <w:rPr>
          <w:rFonts w:ascii="Times New Roman" w:eastAsiaTheme="minorEastAsia" w:hAnsi="Times New Roman"/>
          <w:color w:val="000000"/>
          <w:sz w:val="24"/>
          <w:szCs w:val="24"/>
          <w:lang w:val="en"/>
        </w:rPr>
        <w:t xml:space="preserve"> The initial increases to the standard salary level (from $455 to $913 per week) and HCE total annual compensation requirement (from $100,000 to $134,004 per year) will be effective on that date. Future automatic updates to those thresholds will occur every three years, beginning on January 1, 2020.</w:t>
      </w:r>
    </w:p>
    <w:p w:rsidR="003B0DC6" w:rsidRPr="00DA7FA2" w:rsidRDefault="003B0DC6" w:rsidP="00F7389C">
      <w:pPr>
        <w:pStyle w:val="NoSpacing"/>
        <w:rPr>
          <w:b/>
          <w:szCs w:val="24"/>
        </w:rPr>
      </w:pPr>
    </w:p>
    <w:p w:rsidR="003B0DC6" w:rsidRPr="00DA7FA2" w:rsidRDefault="00AB50C0" w:rsidP="00F7389C">
      <w:pPr>
        <w:pStyle w:val="NoSpacing"/>
        <w:rPr>
          <w:b/>
          <w:szCs w:val="24"/>
        </w:rPr>
      </w:pPr>
      <w:r w:rsidRPr="00DA7FA2">
        <w:rPr>
          <w:rFonts w:eastAsiaTheme="minorEastAsia"/>
          <w:b/>
          <w:bCs/>
          <w:szCs w:val="24"/>
        </w:rPr>
        <w:t xml:space="preserve">IMPACT ON </w:t>
      </w:r>
      <w:r w:rsidR="00D06548">
        <w:rPr>
          <w:rFonts w:eastAsiaTheme="minorEastAsia"/>
          <w:b/>
          <w:bCs/>
          <w:szCs w:val="24"/>
        </w:rPr>
        <w:t>HEALTH CENTERS:</w:t>
      </w:r>
    </w:p>
    <w:p w:rsidR="003B0DC6" w:rsidRPr="00DA7FA2" w:rsidRDefault="003B0DC6" w:rsidP="00F7389C">
      <w:pPr>
        <w:pStyle w:val="NoSpacing"/>
        <w:rPr>
          <w:b/>
          <w:szCs w:val="24"/>
        </w:rPr>
      </w:pPr>
    </w:p>
    <w:p w:rsidR="00590315" w:rsidRPr="00DA7FA2" w:rsidRDefault="00590315" w:rsidP="00590315">
      <w:pPr>
        <w:rPr>
          <w:rFonts w:ascii="Times New Roman" w:hAnsi="Times New Roman"/>
          <w:sz w:val="24"/>
          <w:szCs w:val="24"/>
        </w:rPr>
      </w:pPr>
      <w:r w:rsidRPr="00DA7FA2">
        <w:rPr>
          <w:rFonts w:ascii="Times New Roman" w:eastAsiaTheme="minorEastAsia" w:hAnsi="Times New Roman"/>
          <w:sz w:val="24"/>
          <w:szCs w:val="24"/>
        </w:rPr>
        <w:t>Most members of PACHC fall into the category of 501</w:t>
      </w:r>
      <w:r w:rsidR="00DF4247">
        <w:rPr>
          <w:rFonts w:ascii="Times New Roman" w:eastAsiaTheme="minorEastAsia" w:hAnsi="Times New Roman"/>
          <w:sz w:val="24"/>
          <w:szCs w:val="24"/>
        </w:rPr>
        <w:t>(</w:t>
      </w:r>
      <w:r w:rsidRPr="00DA7FA2">
        <w:rPr>
          <w:rFonts w:ascii="Times New Roman" w:eastAsiaTheme="minorEastAsia" w:hAnsi="Times New Roman"/>
          <w:sz w:val="24"/>
          <w:szCs w:val="24"/>
        </w:rPr>
        <w:t>c</w:t>
      </w:r>
      <w:r w:rsidR="00DF4247">
        <w:rPr>
          <w:rFonts w:ascii="Times New Roman" w:eastAsiaTheme="minorEastAsia" w:hAnsi="Times New Roman"/>
          <w:sz w:val="24"/>
          <w:szCs w:val="24"/>
        </w:rPr>
        <w:t>)(</w:t>
      </w:r>
      <w:r w:rsidRPr="00DA7FA2">
        <w:rPr>
          <w:rFonts w:ascii="Times New Roman" w:eastAsiaTheme="minorEastAsia" w:hAnsi="Times New Roman"/>
          <w:sz w:val="24"/>
          <w:szCs w:val="24"/>
        </w:rPr>
        <w:t>3</w:t>
      </w:r>
      <w:r w:rsidR="00DF4247">
        <w:rPr>
          <w:rFonts w:ascii="Times New Roman" w:eastAsiaTheme="minorEastAsia" w:hAnsi="Times New Roman"/>
          <w:sz w:val="24"/>
          <w:szCs w:val="24"/>
        </w:rPr>
        <w:t>)</w:t>
      </w:r>
      <w:r w:rsidRPr="00DA7FA2">
        <w:rPr>
          <w:rFonts w:ascii="Times New Roman" w:eastAsiaTheme="minorEastAsia" w:hAnsi="Times New Roman"/>
          <w:sz w:val="24"/>
          <w:szCs w:val="24"/>
        </w:rPr>
        <w:t xml:space="preserve"> nonprofit organizations. The </w:t>
      </w:r>
      <w:r w:rsidR="00DF4247">
        <w:rPr>
          <w:rFonts w:ascii="Times New Roman" w:eastAsiaTheme="minorEastAsia" w:hAnsi="Times New Roman"/>
          <w:sz w:val="24"/>
          <w:szCs w:val="24"/>
        </w:rPr>
        <w:t>FLSA</w:t>
      </w:r>
      <w:r w:rsidRPr="00DA7FA2">
        <w:rPr>
          <w:rFonts w:ascii="Times New Roman" w:eastAsiaTheme="minorEastAsia" w:hAnsi="Times New Roman"/>
          <w:sz w:val="24"/>
          <w:szCs w:val="24"/>
        </w:rPr>
        <w:t xml:space="preserve"> final overtime rule make</w:t>
      </w:r>
      <w:r w:rsidR="00D06548">
        <w:rPr>
          <w:rFonts w:ascii="Times New Roman" w:eastAsiaTheme="minorEastAsia" w:hAnsi="Times New Roman"/>
          <w:sz w:val="24"/>
          <w:szCs w:val="24"/>
        </w:rPr>
        <w:t>s</w:t>
      </w:r>
      <w:r w:rsidRPr="00DA7FA2">
        <w:rPr>
          <w:rFonts w:ascii="Times New Roman" w:eastAsiaTheme="minorEastAsia" w:hAnsi="Times New Roman"/>
          <w:sz w:val="24"/>
          <w:szCs w:val="24"/>
        </w:rPr>
        <w:t xml:space="preserve"> some </w:t>
      </w:r>
      <w:r w:rsidR="00DF4247">
        <w:rPr>
          <w:rFonts w:ascii="Times New Roman" w:eastAsiaTheme="minorEastAsia" w:hAnsi="Times New Roman"/>
          <w:sz w:val="24"/>
          <w:szCs w:val="24"/>
        </w:rPr>
        <w:t xml:space="preserve">limited nonprofit organization and other </w:t>
      </w:r>
      <w:r w:rsidRPr="00DA7FA2">
        <w:rPr>
          <w:rFonts w:ascii="Times New Roman" w:eastAsiaTheme="minorEastAsia" w:hAnsi="Times New Roman"/>
          <w:sz w:val="24"/>
          <w:szCs w:val="24"/>
        </w:rPr>
        <w:t>exceptions th</w:t>
      </w:r>
      <w:r w:rsidR="767DCCB6" w:rsidRPr="00DA7FA2">
        <w:rPr>
          <w:rFonts w:ascii="Times New Roman" w:eastAsiaTheme="minorEastAsia" w:hAnsi="Times New Roman"/>
          <w:sz w:val="24"/>
          <w:szCs w:val="24"/>
        </w:rPr>
        <w:t>at</w:t>
      </w:r>
      <w:r w:rsidRPr="00DA7FA2">
        <w:rPr>
          <w:rFonts w:ascii="Times New Roman" w:eastAsiaTheme="minorEastAsia" w:hAnsi="Times New Roman"/>
          <w:sz w:val="24"/>
          <w:szCs w:val="24"/>
        </w:rPr>
        <w:t xml:space="preserve"> could apply to </w:t>
      </w:r>
      <w:r w:rsidR="00DF4247">
        <w:rPr>
          <w:rFonts w:ascii="Times New Roman" w:eastAsiaTheme="minorEastAsia" w:hAnsi="Times New Roman"/>
          <w:sz w:val="24"/>
          <w:szCs w:val="24"/>
        </w:rPr>
        <w:t>you:</w:t>
      </w:r>
    </w:p>
    <w:p w:rsidR="00AB50C0" w:rsidRDefault="00AB50C0" w:rsidP="00791E6B">
      <w:pPr>
        <w:pStyle w:val="ListParagraph"/>
        <w:numPr>
          <w:ilvl w:val="0"/>
          <w:numId w:val="20"/>
        </w:numPr>
        <w:rPr>
          <w:rFonts w:ascii="Times New Roman" w:hAnsi="Times New Roman"/>
          <w:sz w:val="24"/>
          <w:szCs w:val="24"/>
        </w:rPr>
      </w:pPr>
      <w:r w:rsidRPr="00791E6B">
        <w:rPr>
          <w:rFonts w:ascii="Times New Roman" w:hAnsi="Times New Roman"/>
          <w:b/>
          <w:sz w:val="24"/>
          <w:szCs w:val="24"/>
        </w:rPr>
        <w:t>Enterprise Coverage</w:t>
      </w:r>
      <w:r w:rsidR="00791E6B">
        <w:rPr>
          <w:rFonts w:ascii="Times New Roman" w:hAnsi="Times New Roman"/>
          <w:sz w:val="24"/>
          <w:szCs w:val="24"/>
        </w:rPr>
        <w:t>.</w:t>
      </w:r>
      <w:r w:rsidRPr="00791E6B">
        <w:rPr>
          <w:rFonts w:ascii="Times New Roman" w:hAnsi="Times New Roman"/>
          <w:sz w:val="24"/>
          <w:szCs w:val="24"/>
        </w:rPr>
        <w:t xml:space="preserve"> If a nonprofit has annual gross volume of sales made or business done of less than $500,000, then it may be considered a “not covered enterprise” under the new overtime rule.  </w:t>
      </w:r>
    </w:p>
    <w:p w:rsidR="00791E6B" w:rsidRPr="00791E6B" w:rsidRDefault="00791E6B" w:rsidP="00791E6B">
      <w:pPr>
        <w:pStyle w:val="ListParagraph"/>
        <w:rPr>
          <w:rFonts w:ascii="Times New Roman" w:hAnsi="Times New Roman"/>
          <w:sz w:val="24"/>
          <w:szCs w:val="24"/>
        </w:rPr>
      </w:pPr>
    </w:p>
    <w:p w:rsidR="00791E6B" w:rsidRPr="00791E6B" w:rsidRDefault="00590315" w:rsidP="00791E6B">
      <w:pPr>
        <w:pStyle w:val="ListParagraph"/>
        <w:numPr>
          <w:ilvl w:val="0"/>
          <w:numId w:val="20"/>
        </w:numPr>
        <w:rPr>
          <w:rFonts w:ascii="Times New Roman" w:hAnsi="Times New Roman"/>
          <w:sz w:val="24"/>
          <w:szCs w:val="24"/>
        </w:rPr>
      </w:pPr>
      <w:r w:rsidRPr="00791E6B">
        <w:rPr>
          <w:rFonts w:ascii="Times New Roman" w:eastAsiaTheme="minorEastAsia" w:hAnsi="Times New Roman"/>
          <w:b/>
          <w:sz w:val="24"/>
          <w:szCs w:val="24"/>
        </w:rPr>
        <w:t>Individual Exception</w:t>
      </w:r>
      <w:r w:rsidR="00791E6B">
        <w:rPr>
          <w:rFonts w:ascii="Times New Roman" w:eastAsiaTheme="minorEastAsia" w:hAnsi="Times New Roman"/>
          <w:sz w:val="24"/>
          <w:szCs w:val="24"/>
        </w:rPr>
        <w:t>.</w:t>
      </w:r>
      <w:r w:rsidRPr="00791E6B">
        <w:rPr>
          <w:rFonts w:ascii="Times New Roman" w:eastAsiaTheme="minorEastAsia" w:hAnsi="Times New Roman"/>
          <w:sz w:val="24"/>
          <w:szCs w:val="24"/>
        </w:rPr>
        <w:t xml:space="preserve"> If a </w:t>
      </w:r>
      <w:r w:rsidR="008149F1" w:rsidRPr="00791E6B">
        <w:rPr>
          <w:rFonts w:ascii="Times New Roman" w:eastAsiaTheme="minorEastAsia" w:hAnsi="Times New Roman"/>
          <w:sz w:val="24"/>
          <w:szCs w:val="24"/>
        </w:rPr>
        <w:t xml:space="preserve">health center or </w:t>
      </w:r>
      <w:r w:rsidRPr="00791E6B">
        <w:rPr>
          <w:rFonts w:ascii="Times New Roman" w:eastAsiaTheme="minorEastAsia" w:hAnsi="Times New Roman"/>
          <w:sz w:val="24"/>
          <w:szCs w:val="24"/>
        </w:rPr>
        <w:t xml:space="preserve">other nonprofit does meet the enterprise exception, its individual employees may still be subject to the rule if they engage in interstate commerce. For Pennsylvania healthcare facilities, this could include seeing patients or billing insurance companies from neighboring states. </w:t>
      </w:r>
    </w:p>
    <w:p w:rsidR="00791E6B" w:rsidRPr="00791E6B" w:rsidRDefault="00791E6B" w:rsidP="00791E6B">
      <w:pPr>
        <w:pStyle w:val="ListParagraph"/>
        <w:rPr>
          <w:rFonts w:ascii="Times New Roman" w:hAnsi="Times New Roman"/>
          <w:sz w:val="24"/>
          <w:szCs w:val="24"/>
        </w:rPr>
      </w:pPr>
    </w:p>
    <w:p w:rsidR="00590315" w:rsidRPr="00DF4247" w:rsidRDefault="00590315" w:rsidP="00791E6B">
      <w:pPr>
        <w:pStyle w:val="ListParagraph"/>
        <w:numPr>
          <w:ilvl w:val="0"/>
          <w:numId w:val="20"/>
        </w:numPr>
        <w:rPr>
          <w:rFonts w:ascii="Times New Roman" w:hAnsi="Times New Roman"/>
          <w:sz w:val="24"/>
          <w:szCs w:val="24"/>
        </w:rPr>
      </w:pPr>
      <w:r w:rsidRPr="00791E6B">
        <w:rPr>
          <w:rFonts w:ascii="Times New Roman" w:eastAsiaTheme="minorEastAsia" w:hAnsi="Times New Roman"/>
          <w:b/>
          <w:sz w:val="24"/>
          <w:szCs w:val="24"/>
        </w:rPr>
        <w:t>Volunteer Exception</w:t>
      </w:r>
      <w:r w:rsidR="00791E6B">
        <w:rPr>
          <w:rFonts w:ascii="Times New Roman" w:eastAsiaTheme="minorEastAsia" w:hAnsi="Times New Roman"/>
          <w:sz w:val="24"/>
          <w:szCs w:val="24"/>
        </w:rPr>
        <w:t>.</w:t>
      </w:r>
      <w:r w:rsidRPr="00791E6B">
        <w:rPr>
          <w:rFonts w:ascii="Times New Roman" w:eastAsiaTheme="minorEastAsia" w:hAnsi="Times New Roman"/>
          <w:sz w:val="24"/>
          <w:szCs w:val="24"/>
        </w:rPr>
        <w:t xml:space="preserve"> Many FQHCs use volunteers to supplement paid staff and the federal government encourages this. Volunteers are a concern of the Department of Labor only if they “volunteer in commercial activities run by a non-profit organization” or if they “displace regular employed workers or perform work that would otherwise be performed by regular employees.”  If a volunteer fits either of these descriptions, </w:t>
      </w:r>
      <w:r w:rsidR="00D06548">
        <w:rPr>
          <w:rFonts w:ascii="Times New Roman" w:eastAsiaTheme="minorEastAsia" w:hAnsi="Times New Roman"/>
          <w:sz w:val="24"/>
          <w:szCs w:val="24"/>
        </w:rPr>
        <w:t>you</w:t>
      </w:r>
      <w:r w:rsidRPr="00791E6B">
        <w:rPr>
          <w:rFonts w:ascii="Times New Roman" w:eastAsiaTheme="minorEastAsia" w:hAnsi="Times New Roman"/>
          <w:sz w:val="24"/>
          <w:szCs w:val="24"/>
        </w:rPr>
        <w:t xml:space="preserve"> should consult a labor lawyer or other expert about the </w:t>
      </w:r>
      <w:r w:rsidR="00AB50C0" w:rsidRPr="00791E6B">
        <w:rPr>
          <w:rFonts w:ascii="Times New Roman" w:eastAsiaTheme="minorEastAsia" w:hAnsi="Times New Roman"/>
          <w:sz w:val="24"/>
          <w:szCs w:val="24"/>
        </w:rPr>
        <w:t>volunteer’s</w:t>
      </w:r>
      <w:r w:rsidRPr="00791E6B">
        <w:rPr>
          <w:rFonts w:ascii="Times New Roman" w:eastAsiaTheme="minorEastAsia" w:hAnsi="Times New Roman"/>
          <w:sz w:val="24"/>
          <w:szCs w:val="24"/>
        </w:rPr>
        <w:t xml:space="preserve"> status regarding the FLSA. </w:t>
      </w:r>
    </w:p>
    <w:p w:rsidR="00DF4247" w:rsidRPr="00DF4247" w:rsidRDefault="00DF4247" w:rsidP="00DF4247">
      <w:pPr>
        <w:pStyle w:val="ListParagraph"/>
        <w:rPr>
          <w:rFonts w:ascii="Times New Roman" w:hAnsi="Times New Roman"/>
          <w:sz w:val="24"/>
          <w:szCs w:val="24"/>
        </w:rPr>
      </w:pPr>
    </w:p>
    <w:p w:rsidR="00590315" w:rsidRPr="00DF4247" w:rsidRDefault="00590315" w:rsidP="00DF4247">
      <w:pPr>
        <w:pStyle w:val="ListParagraph"/>
        <w:numPr>
          <w:ilvl w:val="0"/>
          <w:numId w:val="20"/>
        </w:numPr>
        <w:rPr>
          <w:rFonts w:ascii="Times New Roman" w:hAnsi="Times New Roman"/>
          <w:sz w:val="24"/>
          <w:szCs w:val="24"/>
        </w:rPr>
      </w:pPr>
      <w:r w:rsidRPr="00DF4247">
        <w:rPr>
          <w:rFonts w:ascii="Times New Roman" w:eastAsiaTheme="minorEastAsia" w:hAnsi="Times New Roman"/>
          <w:b/>
          <w:sz w:val="24"/>
          <w:szCs w:val="24"/>
        </w:rPr>
        <w:t>Professional Exemption</w:t>
      </w:r>
      <w:r w:rsidR="00DF4247">
        <w:rPr>
          <w:rFonts w:ascii="Times New Roman" w:eastAsiaTheme="minorEastAsia" w:hAnsi="Times New Roman"/>
          <w:sz w:val="24"/>
          <w:szCs w:val="24"/>
        </w:rPr>
        <w:t>.</w:t>
      </w:r>
      <w:r w:rsidRPr="00DF4247">
        <w:rPr>
          <w:rFonts w:ascii="Times New Roman" w:eastAsiaTheme="minorEastAsia" w:hAnsi="Times New Roman"/>
          <w:sz w:val="24"/>
          <w:szCs w:val="24"/>
        </w:rPr>
        <w:t xml:space="preserve"> Physicians, along with lawyers and teachers, fall into the “professional exemption” to the FLSA. The salary and salary basis requirements do not apply to bona fide practitioners of medicine. This also applies to physician interns and residents. </w:t>
      </w:r>
    </w:p>
    <w:p w:rsidR="00DF4247" w:rsidRPr="00DF4247" w:rsidRDefault="00DF4247" w:rsidP="00DF4247">
      <w:pPr>
        <w:pStyle w:val="ListParagraph"/>
        <w:rPr>
          <w:rFonts w:ascii="Times New Roman" w:hAnsi="Times New Roman"/>
          <w:sz w:val="24"/>
          <w:szCs w:val="24"/>
        </w:rPr>
      </w:pPr>
    </w:p>
    <w:p w:rsidR="00590315" w:rsidRPr="00791E6B" w:rsidRDefault="00866A4F" w:rsidP="00791E6B">
      <w:pPr>
        <w:pStyle w:val="ListParagraph"/>
        <w:numPr>
          <w:ilvl w:val="0"/>
          <w:numId w:val="20"/>
        </w:numPr>
        <w:rPr>
          <w:rFonts w:ascii="Times New Roman" w:hAnsi="Times New Roman"/>
          <w:sz w:val="24"/>
          <w:szCs w:val="24"/>
        </w:rPr>
      </w:pPr>
      <w:hyperlink r:id="rId10" w:history="1">
        <w:r w:rsidR="00590315" w:rsidRPr="00791E6B">
          <w:rPr>
            <w:rFonts w:ascii="Times New Roman" w:eastAsiaTheme="minorEastAsia" w:hAnsi="Times New Roman"/>
            <w:b/>
            <w:sz w:val="24"/>
            <w:szCs w:val="24"/>
          </w:rPr>
          <w:t>Highly Compensated Employees</w:t>
        </w:r>
      </w:hyperlink>
      <w:r w:rsidR="00791E6B">
        <w:rPr>
          <w:rFonts w:ascii="Times New Roman" w:eastAsiaTheme="minorEastAsia" w:hAnsi="Times New Roman"/>
          <w:b/>
          <w:sz w:val="24"/>
          <w:szCs w:val="24"/>
        </w:rPr>
        <w:t>.</w:t>
      </w:r>
      <w:r w:rsidR="00590315" w:rsidRPr="00791E6B">
        <w:rPr>
          <w:rFonts w:ascii="Times New Roman" w:eastAsiaTheme="minorEastAsia" w:hAnsi="Times New Roman"/>
          <w:sz w:val="24"/>
          <w:szCs w:val="24"/>
        </w:rPr>
        <w:t xml:space="preserve"> Similar </w:t>
      </w:r>
      <w:r w:rsidR="00F064CA" w:rsidRPr="00791E6B">
        <w:rPr>
          <w:rFonts w:ascii="Times New Roman" w:eastAsiaTheme="minorEastAsia" w:hAnsi="Times New Roman"/>
          <w:sz w:val="24"/>
          <w:szCs w:val="24"/>
        </w:rPr>
        <w:t>t</w:t>
      </w:r>
      <w:r w:rsidR="00590315" w:rsidRPr="00791E6B">
        <w:rPr>
          <w:rFonts w:ascii="Times New Roman" w:eastAsiaTheme="minorEastAsia" w:hAnsi="Times New Roman"/>
          <w:sz w:val="24"/>
          <w:szCs w:val="24"/>
        </w:rPr>
        <w:t xml:space="preserve">o the </w:t>
      </w:r>
      <w:r w:rsidR="00791E6B">
        <w:rPr>
          <w:rFonts w:ascii="Times New Roman" w:eastAsiaTheme="minorEastAsia" w:hAnsi="Times New Roman"/>
          <w:sz w:val="24"/>
          <w:szCs w:val="24"/>
        </w:rPr>
        <w:t>p</w:t>
      </w:r>
      <w:r w:rsidR="00590315" w:rsidRPr="00791E6B">
        <w:rPr>
          <w:rFonts w:ascii="Times New Roman" w:eastAsiaTheme="minorEastAsia" w:hAnsi="Times New Roman"/>
          <w:sz w:val="24"/>
          <w:szCs w:val="24"/>
        </w:rPr>
        <w:t>rofessional exemption, the FLSA overtime rule does not apply to individuals earning more than $134,000 annually.</w:t>
      </w:r>
    </w:p>
    <w:p w:rsidR="00E47071" w:rsidRDefault="00E47071" w:rsidP="00F064CA">
      <w:pPr>
        <w:shd w:val="clear" w:color="auto" w:fill="FFFFFF" w:themeFill="background1"/>
        <w:spacing w:before="100" w:beforeAutospacing="1" w:after="100" w:afterAutospacing="1"/>
        <w:ind w:right="240"/>
        <w:rPr>
          <w:rFonts w:ascii="Times New Roman" w:eastAsiaTheme="minorEastAsia" w:hAnsi="Times New Roman"/>
          <w:b/>
          <w:bCs/>
          <w:sz w:val="24"/>
          <w:szCs w:val="24"/>
          <w:lang w:val="en"/>
        </w:rPr>
      </w:pPr>
    </w:p>
    <w:p w:rsidR="00AB50C0" w:rsidRDefault="00AB50C0" w:rsidP="00E47071">
      <w:pPr>
        <w:pStyle w:val="NoSpacing"/>
        <w:rPr>
          <w:b/>
          <w:lang w:val="en"/>
        </w:rPr>
      </w:pPr>
      <w:r w:rsidRPr="00E47071">
        <w:rPr>
          <w:b/>
          <w:lang w:val="en"/>
        </w:rPr>
        <w:lastRenderedPageBreak/>
        <w:t>RESOURCES</w:t>
      </w:r>
      <w:r w:rsidR="00D06548">
        <w:rPr>
          <w:b/>
          <w:lang w:val="en"/>
        </w:rPr>
        <w:t>:</w:t>
      </w:r>
    </w:p>
    <w:p w:rsidR="00D06548" w:rsidRPr="00E47071" w:rsidRDefault="00D06548" w:rsidP="00E47071">
      <w:pPr>
        <w:pStyle w:val="NoSpacing"/>
        <w:rPr>
          <w:b/>
          <w:lang w:val="en"/>
        </w:rPr>
      </w:pPr>
    </w:p>
    <w:p w:rsidR="00590315" w:rsidRDefault="00E47071" w:rsidP="00E37761">
      <w:pPr>
        <w:pStyle w:val="NoSpacing"/>
        <w:rPr>
          <w:lang w:val="en"/>
        </w:rPr>
      </w:pPr>
      <w:r>
        <w:rPr>
          <w:lang w:val="en"/>
        </w:rPr>
        <w:t xml:space="preserve">The Department of Labor </w:t>
      </w:r>
      <w:r w:rsidR="00D06548">
        <w:rPr>
          <w:lang w:val="en"/>
        </w:rPr>
        <w:t>offers</w:t>
      </w:r>
      <w:r>
        <w:rPr>
          <w:lang w:val="en"/>
        </w:rPr>
        <w:t xml:space="preserve"> a </w:t>
      </w:r>
      <w:r w:rsidR="00F961A1">
        <w:rPr>
          <w:lang w:val="en"/>
        </w:rPr>
        <w:t>variety of</w:t>
      </w:r>
      <w:r>
        <w:rPr>
          <w:lang w:val="en"/>
        </w:rPr>
        <w:t xml:space="preserve"> resources to support you in </w:t>
      </w:r>
      <w:r w:rsidR="00D06548">
        <w:rPr>
          <w:lang w:val="en"/>
        </w:rPr>
        <w:t xml:space="preserve">understanding and </w:t>
      </w:r>
      <w:r>
        <w:rPr>
          <w:lang w:val="en"/>
        </w:rPr>
        <w:t>compliance</w:t>
      </w:r>
      <w:r w:rsidR="00D06548">
        <w:rPr>
          <w:lang w:val="en"/>
        </w:rPr>
        <w:t xml:space="preserve"> with the rule</w:t>
      </w:r>
      <w:r>
        <w:rPr>
          <w:lang w:val="en"/>
        </w:rPr>
        <w:t>, including</w:t>
      </w:r>
      <w:r w:rsidR="00590315" w:rsidRPr="00DA7FA2">
        <w:rPr>
          <w:lang w:val="en"/>
        </w:rPr>
        <w:t>:</w:t>
      </w:r>
    </w:p>
    <w:p w:rsidR="00E37761" w:rsidRPr="00DA7FA2" w:rsidRDefault="00E37761" w:rsidP="00E37761">
      <w:pPr>
        <w:pStyle w:val="NoSpacing"/>
        <w:rPr>
          <w:lang w:val="en"/>
        </w:rPr>
      </w:pPr>
    </w:p>
    <w:tbl>
      <w:tblPr>
        <w:tblStyle w:val="TableGrid"/>
        <w:tblW w:w="9445" w:type="dxa"/>
        <w:tblLayout w:type="fixed"/>
        <w:tblLook w:val="04A0" w:firstRow="1" w:lastRow="0" w:firstColumn="1" w:lastColumn="0" w:noHBand="0" w:noVBand="1"/>
      </w:tblPr>
      <w:tblGrid>
        <w:gridCol w:w="2425"/>
        <w:gridCol w:w="7020"/>
      </w:tblGrid>
      <w:tr w:rsidR="00E37761" w:rsidRPr="00DA7FA2" w:rsidTr="00E47071">
        <w:tc>
          <w:tcPr>
            <w:tcW w:w="2425" w:type="dxa"/>
          </w:tcPr>
          <w:p w:rsidR="00E37761" w:rsidRPr="00DA7FA2" w:rsidRDefault="00E37761" w:rsidP="00F064CA">
            <w:pPr>
              <w:spacing w:before="100" w:beforeAutospacing="1" w:after="100" w:afterAutospacing="1"/>
              <w:ind w:right="240"/>
              <w:jc w:val="center"/>
              <w:rPr>
                <w:rFonts w:ascii="Times New Roman" w:hAnsi="Times New Roman" w:cs="Times New Roman"/>
                <w:b/>
                <w:sz w:val="24"/>
                <w:szCs w:val="24"/>
                <w:u w:val="single"/>
                <w:lang w:val="en"/>
              </w:rPr>
            </w:pPr>
            <w:r w:rsidRPr="00DA7FA2">
              <w:rPr>
                <w:rFonts w:ascii="Times New Roman" w:eastAsia="Times New Roman" w:hAnsi="Times New Roman" w:cs="Times New Roman"/>
                <w:b/>
                <w:bCs/>
                <w:sz w:val="24"/>
                <w:szCs w:val="24"/>
                <w:u w:val="single"/>
                <w:lang w:val="en"/>
              </w:rPr>
              <w:t>Summary</w:t>
            </w:r>
          </w:p>
        </w:tc>
        <w:tc>
          <w:tcPr>
            <w:tcW w:w="7020" w:type="dxa"/>
          </w:tcPr>
          <w:p w:rsidR="00E37761" w:rsidRPr="00DA7FA2" w:rsidRDefault="00E37761" w:rsidP="00F064CA">
            <w:pPr>
              <w:spacing w:before="100" w:beforeAutospacing="1" w:after="100" w:afterAutospacing="1"/>
              <w:ind w:right="240"/>
              <w:jc w:val="center"/>
              <w:rPr>
                <w:rFonts w:ascii="Times New Roman" w:hAnsi="Times New Roman" w:cs="Times New Roman"/>
                <w:b/>
                <w:sz w:val="24"/>
                <w:szCs w:val="24"/>
                <w:u w:val="single"/>
                <w:lang w:val="en"/>
              </w:rPr>
            </w:pPr>
            <w:r w:rsidRPr="00DA7FA2">
              <w:rPr>
                <w:rFonts w:ascii="Times New Roman" w:eastAsia="Times New Roman" w:hAnsi="Times New Roman" w:cs="Times New Roman"/>
                <w:b/>
                <w:bCs/>
                <w:sz w:val="24"/>
                <w:szCs w:val="24"/>
                <w:u w:val="single"/>
                <w:lang w:val="en"/>
              </w:rPr>
              <w:t>Website</w:t>
            </w:r>
          </w:p>
        </w:tc>
      </w:tr>
      <w:tr w:rsidR="00E37761" w:rsidRPr="00DA7FA2" w:rsidTr="00E47071">
        <w:tc>
          <w:tcPr>
            <w:tcW w:w="2425" w:type="dxa"/>
          </w:tcPr>
          <w:p w:rsidR="00E37761" w:rsidRDefault="00E37761" w:rsidP="00E37761">
            <w:pPr>
              <w:pStyle w:val="NoSpacing"/>
              <w:rPr>
                <w:lang w:val="en"/>
              </w:rPr>
            </w:pPr>
            <w:r>
              <w:rPr>
                <w:lang w:val="en"/>
              </w:rPr>
              <w:t>DOL FLSA</w:t>
            </w:r>
          </w:p>
          <w:p w:rsidR="00E37761" w:rsidRPr="002C6BD8" w:rsidRDefault="00E37761" w:rsidP="00E37761">
            <w:pPr>
              <w:pStyle w:val="NoSpacing"/>
              <w:rPr>
                <w:lang w:val="en"/>
              </w:rPr>
            </w:pPr>
            <w:r>
              <w:rPr>
                <w:lang w:val="en"/>
              </w:rPr>
              <w:t>webpage</w:t>
            </w:r>
          </w:p>
          <w:p w:rsidR="00E37761" w:rsidRPr="002C6BD8" w:rsidRDefault="00E37761" w:rsidP="00DD5DA2">
            <w:pPr>
              <w:spacing w:before="100" w:beforeAutospacing="1" w:after="100" w:afterAutospacing="1"/>
              <w:ind w:right="240"/>
              <w:rPr>
                <w:rFonts w:ascii="Times New Roman" w:hAnsi="Times New Roman" w:cs="Times New Roman"/>
                <w:lang w:val="en"/>
              </w:rPr>
            </w:pPr>
          </w:p>
        </w:tc>
        <w:tc>
          <w:tcPr>
            <w:tcW w:w="7020" w:type="dxa"/>
          </w:tcPr>
          <w:p w:rsidR="00E37761" w:rsidRPr="00DA7FA2" w:rsidRDefault="00866A4F" w:rsidP="00DD5DA2">
            <w:pPr>
              <w:rPr>
                <w:rFonts w:ascii="Times New Roman" w:eastAsia="Times New Roman" w:hAnsi="Times New Roman" w:cs="Times New Roman"/>
                <w:color w:val="000000"/>
                <w:sz w:val="24"/>
                <w:szCs w:val="24"/>
                <w:lang w:val="en"/>
              </w:rPr>
            </w:pPr>
            <w:hyperlink r:id="rId11" w:history="1">
              <w:r w:rsidR="00E37761" w:rsidRPr="00DA7FA2">
                <w:rPr>
                  <w:rStyle w:val="Hyperlink"/>
                  <w:rFonts w:ascii="Times New Roman" w:eastAsia="Times New Roman" w:hAnsi="Times New Roman" w:cs="Times New Roman"/>
                  <w:sz w:val="24"/>
                  <w:szCs w:val="24"/>
                  <w:lang w:val="en"/>
                </w:rPr>
                <w:t>www.dol.gov/whd/flsa/</w:t>
              </w:r>
            </w:hyperlink>
          </w:p>
          <w:p w:rsidR="00E37761" w:rsidRPr="00DA7FA2" w:rsidRDefault="00E37761" w:rsidP="00DD5DA2">
            <w:pPr>
              <w:spacing w:before="100" w:beforeAutospacing="1" w:after="100" w:afterAutospacing="1"/>
              <w:ind w:right="240"/>
              <w:rPr>
                <w:rFonts w:ascii="Times New Roman" w:hAnsi="Times New Roman" w:cs="Times New Roman"/>
                <w:sz w:val="24"/>
                <w:szCs w:val="24"/>
                <w:lang w:val="en"/>
              </w:rPr>
            </w:pPr>
          </w:p>
        </w:tc>
      </w:tr>
      <w:tr w:rsidR="00E47071" w:rsidRPr="00DA7FA2" w:rsidTr="00E47071">
        <w:tc>
          <w:tcPr>
            <w:tcW w:w="2425" w:type="dxa"/>
          </w:tcPr>
          <w:p w:rsidR="00E47071" w:rsidRDefault="00E47071" w:rsidP="00E37761">
            <w:pPr>
              <w:pStyle w:val="NoSpacing"/>
              <w:rPr>
                <w:lang w:val="en"/>
              </w:rPr>
            </w:pPr>
            <w:r>
              <w:rPr>
                <w:lang w:val="en"/>
              </w:rPr>
              <w:t>Overtime for White Collar Workers:  Overview &amp; Summary of Final Rule</w:t>
            </w:r>
          </w:p>
        </w:tc>
        <w:tc>
          <w:tcPr>
            <w:tcW w:w="7020" w:type="dxa"/>
          </w:tcPr>
          <w:p w:rsidR="00E47071" w:rsidRPr="00E47071" w:rsidRDefault="00866A4F" w:rsidP="00DD5DA2">
            <w:pPr>
              <w:rPr>
                <w:rFonts w:ascii="Times New Roman" w:hAnsi="Times New Roman" w:cs="Times New Roman"/>
              </w:rPr>
            </w:pPr>
            <w:hyperlink r:id="rId12" w:history="1">
              <w:r w:rsidR="00E47071" w:rsidRPr="00E66981">
                <w:rPr>
                  <w:rStyle w:val="Hyperlink"/>
                  <w:rFonts w:ascii="Times New Roman" w:hAnsi="Times New Roman"/>
                </w:rPr>
                <w:t>https://www.dol.gov/sites/default/files/overtime-overview.pdf</w:t>
              </w:r>
            </w:hyperlink>
            <w:r w:rsidR="00E47071">
              <w:rPr>
                <w:rFonts w:ascii="Times New Roman" w:hAnsi="Times New Roman" w:cs="Times New Roman"/>
              </w:rPr>
              <w:t xml:space="preserve"> </w:t>
            </w:r>
          </w:p>
        </w:tc>
      </w:tr>
      <w:tr w:rsidR="00E47071" w:rsidRPr="00DA7FA2" w:rsidTr="00E47071">
        <w:tc>
          <w:tcPr>
            <w:tcW w:w="2425" w:type="dxa"/>
          </w:tcPr>
          <w:p w:rsidR="00E47071" w:rsidRDefault="00E47071" w:rsidP="00E37761">
            <w:pPr>
              <w:pStyle w:val="NoSpacing"/>
              <w:rPr>
                <w:lang w:val="en"/>
              </w:rPr>
            </w:pPr>
            <w:r>
              <w:rPr>
                <w:lang w:val="en"/>
              </w:rPr>
              <w:t>DOL Video on Overtime Changes</w:t>
            </w:r>
          </w:p>
        </w:tc>
        <w:tc>
          <w:tcPr>
            <w:tcW w:w="7020" w:type="dxa"/>
          </w:tcPr>
          <w:p w:rsidR="00E47071" w:rsidRPr="00E47071" w:rsidRDefault="00866A4F" w:rsidP="00DD5DA2">
            <w:pPr>
              <w:rPr>
                <w:rFonts w:ascii="Times New Roman" w:hAnsi="Times New Roman"/>
                <w:sz w:val="24"/>
                <w:szCs w:val="24"/>
              </w:rPr>
            </w:pPr>
            <w:hyperlink r:id="rId13" w:history="1">
              <w:r w:rsidR="00E47071" w:rsidRPr="00E66981">
                <w:rPr>
                  <w:rStyle w:val="Hyperlink"/>
                  <w:rFonts w:ascii="Times New Roman" w:hAnsi="Times New Roman"/>
                  <w:sz w:val="24"/>
                  <w:szCs w:val="24"/>
                </w:rPr>
                <w:t>https://www.dol.gov/featured/overtime</w:t>
              </w:r>
            </w:hyperlink>
            <w:r w:rsidR="00E47071">
              <w:rPr>
                <w:rFonts w:ascii="Times New Roman" w:hAnsi="Times New Roman"/>
                <w:sz w:val="24"/>
                <w:szCs w:val="24"/>
              </w:rPr>
              <w:t xml:space="preserve"> </w:t>
            </w:r>
          </w:p>
        </w:tc>
      </w:tr>
      <w:tr w:rsidR="00E37761" w:rsidRPr="00DA7FA2" w:rsidTr="00E47071">
        <w:tc>
          <w:tcPr>
            <w:tcW w:w="2425" w:type="dxa"/>
          </w:tcPr>
          <w:p w:rsidR="00E37761" w:rsidRPr="002C6BD8" w:rsidRDefault="00E37761" w:rsidP="00DD5DA2">
            <w:pPr>
              <w:rPr>
                <w:rFonts w:ascii="Times New Roman" w:eastAsia="Times New Roman" w:hAnsi="Times New Roman" w:cs="Times New Roman"/>
                <w:color w:val="000000"/>
                <w:lang w:val="en"/>
              </w:rPr>
            </w:pPr>
            <w:r w:rsidRPr="002C6BD8">
              <w:rPr>
                <w:rFonts w:ascii="Times New Roman" w:eastAsia="Times New Roman" w:hAnsi="Times New Roman" w:cs="Times New Roman"/>
                <w:color w:val="000000"/>
                <w:lang w:val="en"/>
              </w:rPr>
              <w:t>General overtime pay fact sheets</w:t>
            </w:r>
          </w:p>
        </w:tc>
        <w:tc>
          <w:tcPr>
            <w:tcW w:w="7020" w:type="dxa"/>
          </w:tcPr>
          <w:p w:rsidR="00E37761" w:rsidRPr="00DA7FA2" w:rsidRDefault="00866A4F" w:rsidP="00DD5DA2">
            <w:pPr>
              <w:rPr>
                <w:rFonts w:ascii="Times New Roman" w:hAnsi="Times New Roman" w:cs="Times New Roman"/>
                <w:sz w:val="24"/>
                <w:szCs w:val="24"/>
              </w:rPr>
            </w:pPr>
            <w:hyperlink r:id="rId14" w:history="1">
              <w:r w:rsidR="00E37761" w:rsidRPr="00DA7FA2">
                <w:rPr>
                  <w:rStyle w:val="Hyperlink"/>
                  <w:rFonts w:ascii="Times New Roman" w:eastAsia="Times New Roman" w:hAnsi="Times New Roman"/>
                  <w:sz w:val="24"/>
                  <w:szCs w:val="24"/>
                  <w:lang w:val="en"/>
                </w:rPr>
                <w:t>https://www.dol.gov/whd/overtime/fact_sheets.htm</w:t>
              </w:r>
            </w:hyperlink>
          </w:p>
        </w:tc>
      </w:tr>
      <w:tr w:rsidR="00E37761" w:rsidRPr="00DA7FA2" w:rsidTr="00E47071">
        <w:tc>
          <w:tcPr>
            <w:tcW w:w="2425" w:type="dxa"/>
          </w:tcPr>
          <w:p w:rsidR="00E37761" w:rsidRDefault="00E37761" w:rsidP="00E37761">
            <w:pPr>
              <w:pStyle w:val="NoSpacing"/>
              <w:rPr>
                <w:lang w:val="en"/>
              </w:rPr>
            </w:pPr>
            <w:r w:rsidRPr="002C6BD8">
              <w:rPr>
                <w:noProof/>
              </w:rPr>
              <w:drawing>
                <wp:inline distT="0" distB="0" distL="0" distR="0" wp14:anchorId="77368C76" wp14:editId="02B789E0">
                  <wp:extent cx="466725" cy="133350"/>
                  <wp:effectExtent l="0" t="0" r="9525" b="0"/>
                  <wp:docPr id="3" name="Picture 3" descr="elaws: Employment Laws Assistance for Workers &amp; Small Busin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aws: Employment Laws Assistance for Workers &amp; Small Business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8743" cy="142498"/>
                          </a:xfrm>
                          <a:prstGeom prst="rect">
                            <a:avLst/>
                          </a:prstGeom>
                          <a:noFill/>
                          <a:ln>
                            <a:noFill/>
                          </a:ln>
                        </pic:spPr>
                      </pic:pic>
                    </a:graphicData>
                  </a:graphic>
                </wp:inline>
              </w:drawing>
            </w:r>
            <w:r w:rsidRPr="002C6BD8">
              <w:rPr>
                <w:lang w:val="en"/>
              </w:rPr>
              <w:t xml:space="preserve"> </w:t>
            </w:r>
            <w:r>
              <w:rPr>
                <w:lang w:val="en"/>
              </w:rPr>
              <w:t>FLSA</w:t>
            </w:r>
            <w:r w:rsidRPr="002C6BD8">
              <w:rPr>
                <w:lang w:val="en"/>
              </w:rPr>
              <w:t xml:space="preserve"> Advisor provides employers and employees with the information they need to understand the new law.</w:t>
            </w:r>
          </w:p>
          <w:p w:rsidR="00E37761" w:rsidRPr="00E37761" w:rsidRDefault="00E37761" w:rsidP="00E37761">
            <w:pPr>
              <w:pStyle w:val="NoSpacing"/>
              <w:rPr>
                <w:lang w:val="en"/>
              </w:rPr>
            </w:pPr>
          </w:p>
        </w:tc>
        <w:tc>
          <w:tcPr>
            <w:tcW w:w="7020" w:type="dxa"/>
          </w:tcPr>
          <w:p w:rsidR="00E37761" w:rsidRPr="00DA7FA2" w:rsidRDefault="00866A4F" w:rsidP="00DD5DA2">
            <w:pPr>
              <w:rPr>
                <w:rFonts w:ascii="Times New Roman" w:eastAsia="Times New Roman" w:hAnsi="Times New Roman" w:cs="Times New Roman"/>
                <w:color w:val="000000"/>
                <w:sz w:val="24"/>
                <w:szCs w:val="24"/>
                <w:lang w:val="en"/>
              </w:rPr>
            </w:pPr>
            <w:hyperlink r:id="rId16" w:history="1">
              <w:r w:rsidR="00E37761" w:rsidRPr="00DA7FA2">
                <w:rPr>
                  <w:rStyle w:val="Hyperlink"/>
                  <w:rFonts w:ascii="Times New Roman" w:eastAsia="Times New Roman" w:hAnsi="Times New Roman" w:cs="Times New Roman"/>
                  <w:sz w:val="24"/>
                  <w:szCs w:val="24"/>
                  <w:lang w:val="en"/>
                </w:rPr>
                <w:t>www.dol.gov/elaws/flsa.htm</w:t>
              </w:r>
            </w:hyperlink>
          </w:p>
          <w:p w:rsidR="00E37761" w:rsidRPr="00DA7FA2" w:rsidRDefault="00E37761" w:rsidP="00DD5DA2">
            <w:pPr>
              <w:spacing w:before="100" w:beforeAutospacing="1" w:after="100" w:afterAutospacing="1"/>
              <w:ind w:right="240"/>
              <w:rPr>
                <w:rFonts w:ascii="Times New Roman" w:hAnsi="Times New Roman" w:cs="Times New Roman"/>
                <w:sz w:val="24"/>
                <w:szCs w:val="24"/>
                <w:lang w:val="en"/>
              </w:rPr>
            </w:pPr>
          </w:p>
        </w:tc>
      </w:tr>
      <w:tr w:rsidR="00E37761" w:rsidRPr="00DA7FA2" w:rsidTr="00E47071">
        <w:tc>
          <w:tcPr>
            <w:tcW w:w="2425" w:type="dxa"/>
          </w:tcPr>
          <w:p w:rsidR="00E37761" w:rsidRPr="002C6BD8" w:rsidRDefault="00E37761" w:rsidP="00F064CA">
            <w:pPr>
              <w:spacing w:before="100" w:beforeAutospacing="1" w:after="100" w:afterAutospacing="1"/>
              <w:ind w:right="240"/>
              <w:rPr>
                <w:rFonts w:ascii="Times New Roman" w:hAnsi="Times New Roman" w:cs="Times New Roman"/>
                <w:lang w:val="en"/>
              </w:rPr>
            </w:pPr>
            <w:r w:rsidRPr="002C6BD8">
              <w:rPr>
                <w:rFonts w:ascii="Times New Roman" w:eastAsia="Times New Roman" w:hAnsi="Times New Roman" w:cs="Times New Roman"/>
              </w:rPr>
              <w:t xml:space="preserve">Handy Reference Guide to the </w:t>
            </w:r>
            <w:r>
              <w:rPr>
                <w:rFonts w:ascii="Times New Roman" w:eastAsia="Times New Roman" w:hAnsi="Times New Roman" w:cs="Times New Roman"/>
              </w:rPr>
              <w:t>FSLA</w:t>
            </w:r>
            <w:r w:rsidRPr="002C6BD8">
              <w:rPr>
                <w:rFonts w:ascii="Times New Roman" w:eastAsia="Tahoma" w:hAnsi="Times New Roman" w:cs="Times New Roman"/>
              </w:rPr>
              <w:t xml:space="preserve"> </w:t>
            </w:r>
            <w:r w:rsidRPr="002C6BD8">
              <w:rPr>
                <w:rFonts w:ascii="Times New Roman" w:eastAsia="Times New Roman" w:hAnsi="Times New Roman" w:cs="Times New Roman"/>
              </w:rPr>
              <w:t xml:space="preserve"> </w:t>
            </w:r>
          </w:p>
        </w:tc>
        <w:tc>
          <w:tcPr>
            <w:tcW w:w="7020" w:type="dxa"/>
          </w:tcPr>
          <w:p w:rsidR="00E37761" w:rsidRPr="00DA7FA2" w:rsidRDefault="00866A4F" w:rsidP="00DD5DA2">
            <w:pPr>
              <w:rPr>
                <w:rFonts w:ascii="Times New Roman" w:hAnsi="Times New Roman" w:cs="Times New Roman"/>
                <w:sz w:val="24"/>
                <w:szCs w:val="24"/>
                <w:lang w:val="en"/>
              </w:rPr>
            </w:pPr>
            <w:hyperlink r:id="rId17" w:history="1">
              <w:r w:rsidR="00E37761" w:rsidRPr="00DA7FA2">
                <w:rPr>
                  <w:rStyle w:val="Hyperlink"/>
                  <w:rFonts w:ascii="Times New Roman" w:eastAsia="Times New Roman" w:hAnsi="Times New Roman" w:cs="Times New Roman"/>
                  <w:sz w:val="24"/>
                  <w:szCs w:val="24"/>
                </w:rPr>
                <w:t>https://www.dol.gov/whd/regs/compliance/hrg.htm</w:t>
              </w:r>
            </w:hyperlink>
          </w:p>
        </w:tc>
      </w:tr>
      <w:tr w:rsidR="00E37761" w:rsidRPr="00DA7FA2" w:rsidTr="00E47071">
        <w:tc>
          <w:tcPr>
            <w:tcW w:w="2425" w:type="dxa"/>
          </w:tcPr>
          <w:p w:rsidR="00E37761" w:rsidRPr="002C6BD8" w:rsidRDefault="00E37761" w:rsidP="00791E6B">
            <w:pPr>
              <w:spacing w:before="100" w:beforeAutospacing="1" w:after="100" w:afterAutospacing="1"/>
              <w:ind w:right="240"/>
              <w:rPr>
                <w:rFonts w:ascii="Times New Roman" w:eastAsia="Times New Roman" w:hAnsi="Times New Roman"/>
              </w:rPr>
            </w:pPr>
            <w:r>
              <w:rPr>
                <w:rFonts w:ascii="Times New Roman" w:eastAsia="Times New Roman" w:hAnsi="Times New Roman" w:cs="Times New Roman"/>
                <w:lang w:val="en"/>
              </w:rPr>
              <w:t>Q&amp;A</w:t>
            </w:r>
            <w:r w:rsidRPr="002C6BD8">
              <w:rPr>
                <w:rFonts w:ascii="Times New Roman" w:eastAsia="Times New Roman" w:hAnsi="Times New Roman" w:cs="Times New Roman"/>
                <w:lang w:val="en"/>
              </w:rPr>
              <w:t xml:space="preserve"> from the General Informatio</w:t>
            </w:r>
            <w:r>
              <w:rPr>
                <w:rFonts w:ascii="Times New Roman" w:eastAsia="Times New Roman" w:hAnsi="Times New Roman" w:cs="Times New Roman"/>
                <w:lang w:val="en"/>
              </w:rPr>
              <w:t>n</w:t>
            </w:r>
            <w:r w:rsidRPr="002C6BD8">
              <w:rPr>
                <w:rFonts w:ascii="Times New Roman" w:eastAsia="Times New Roman" w:hAnsi="Times New Roman" w:cs="Times New Roman"/>
                <w:lang w:val="en"/>
              </w:rPr>
              <w:t xml:space="preserve"> Overtime Webinars</w:t>
            </w:r>
          </w:p>
        </w:tc>
        <w:tc>
          <w:tcPr>
            <w:tcW w:w="7020" w:type="dxa"/>
          </w:tcPr>
          <w:p w:rsidR="00E37761" w:rsidRDefault="00866A4F" w:rsidP="00D66C20">
            <w:pPr>
              <w:rPr>
                <w:rFonts w:ascii="Times New Roman" w:hAnsi="Times New Roman"/>
                <w:sz w:val="24"/>
                <w:szCs w:val="24"/>
              </w:rPr>
            </w:pPr>
            <w:hyperlink r:id="rId18" w:history="1">
              <w:r w:rsidR="00E37761" w:rsidRPr="005025CD">
                <w:rPr>
                  <w:rStyle w:val="Hyperlink"/>
                  <w:rFonts w:ascii="Times New Roman" w:hAnsi="Times New Roman"/>
                  <w:sz w:val="24"/>
                  <w:szCs w:val="24"/>
                </w:rPr>
                <w:t>https://www.dol.gov/whd/overtime/final2016/webinarfaq.htm</w:t>
              </w:r>
            </w:hyperlink>
          </w:p>
          <w:p w:rsidR="00E37761" w:rsidRPr="00DA7FA2" w:rsidRDefault="00E37761" w:rsidP="00D66C20">
            <w:pPr>
              <w:rPr>
                <w:rFonts w:ascii="Times New Roman" w:hAnsi="Times New Roman"/>
                <w:sz w:val="24"/>
                <w:szCs w:val="24"/>
              </w:rPr>
            </w:pPr>
          </w:p>
        </w:tc>
      </w:tr>
      <w:tr w:rsidR="00E47071" w:rsidRPr="00DA7FA2" w:rsidTr="00E47071">
        <w:tc>
          <w:tcPr>
            <w:tcW w:w="2425" w:type="dxa"/>
          </w:tcPr>
          <w:p w:rsidR="00E47071" w:rsidRDefault="00E47071" w:rsidP="00791E6B">
            <w:pPr>
              <w:spacing w:before="100" w:beforeAutospacing="1" w:after="100" w:afterAutospacing="1"/>
              <w:ind w:right="240"/>
              <w:rPr>
                <w:rFonts w:ascii="Times New Roman" w:eastAsia="Times New Roman" w:hAnsi="Times New Roman"/>
                <w:lang w:val="en"/>
              </w:rPr>
            </w:pPr>
            <w:r>
              <w:rPr>
                <w:rFonts w:ascii="Times New Roman" w:eastAsia="Times New Roman" w:hAnsi="Times New Roman"/>
                <w:lang w:val="en"/>
              </w:rPr>
              <w:t>Fact Sheet #14A:  Non-Profit Organizations and the FLSA</w:t>
            </w:r>
          </w:p>
        </w:tc>
        <w:tc>
          <w:tcPr>
            <w:tcW w:w="7020" w:type="dxa"/>
          </w:tcPr>
          <w:p w:rsidR="00E47071" w:rsidRPr="00E47071" w:rsidRDefault="00866A4F" w:rsidP="00D66C20">
            <w:pPr>
              <w:rPr>
                <w:rFonts w:ascii="Times New Roman" w:hAnsi="Times New Roman" w:cs="Times New Roman"/>
                <w:sz w:val="24"/>
                <w:szCs w:val="24"/>
              </w:rPr>
            </w:pPr>
            <w:hyperlink r:id="rId19" w:history="1">
              <w:r w:rsidR="00E47071" w:rsidRPr="00E66981">
                <w:rPr>
                  <w:rStyle w:val="Hyperlink"/>
                  <w:rFonts w:ascii="Times New Roman" w:hAnsi="Times New Roman"/>
                  <w:sz w:val="24"/>
                  <w:szCs w:val="24"/>
                </w:rPr>
                <w:t>https://www.dol.gov/whd/regs/compliance/whdfs14a.htm</w:t>
              </w:r>
            </w:hyperlink>
            <w:r w:rsidR="00E47071">
              <w:rPr>
                <w:rFonts w:ascii="Times New Roman" w:hAnsi="Times New Roman" w:cs="Times New Roman"/>
                <w:sz w:val="24"/>
                <w:szCs w:val="24"/>
              </w:rPr>
              <w:t xml:space="preserve"> </w:t>
            </w:r>
          </w:p>
        </w:tc>
      </w:tr>
      <w:tr w:rsidR="00E47071" w:rsidRPr="00DA7FA2" w:rsidTr="00E47071">
        <w:tc>
          <w:tcPr>
            <w:tcW w:w="2425" w:type="dxa"/>
          </w:tcPr>
          <w:p w:rsidR="00E47071" w:rsidRDefault="00E47071" w:rsidP="00791E6B">
            <w:pPr>
              <w:spacing w:before="100" w:beforeAutospacing="1" w:after="100" w:afterAutospacing="1"/>
              <w:ind w:right="240"/>
              <w:rPr>
                <w:rFonts w:ascii="Times New Roman" w:eastAsia="Times New Roman" w:hAnsi="Times New Roman"/>
                <w:lang w:val="en"/>
              </w:rPr>
            </w:pPr>
            <w:r>
              <w:rPr>
                <w:rFonts w:ascii="Times New Roman" w:eastAsia="Times New Roman" w:hAnsi="Times New Roman"/>
                <w:lang w:val="en"/>
              </w:rPr>
              <w:t>Guidance for Non-Profit Organizations on Paying Overtime Under the FLSA</w:t>
            </w:r>
          </w:p>
        </w:tc>
        <w:tc>
          <w:tcPr>
            <w:tcW w:w="7020" w:type="dxa"/>
          </w:tcPr>
          <w:p w:rsidR="00E47071" w:rsidRPr="00E47071" w:rsidRDefault="00866A4F" w:rsidP="00D66C20">
            <w:pPr>
              <w:rPr>
                <w:rFonts w:ascii="Times New Roman" w:hAnsi="Times New Roman" w:cs="Times New Roman"/>
                <w:sz w:val="24"/>
                <w:szCs w:val="24"/>
              </w:rPr>
            </w:pPr>
            <w:hyperlink r:id="rId20" w:history="1">
              <w:r w:rsidR="00E47071" w:rsidRPr="00E66981">
                <w:rPr>
                  <w:rStyle w:val="Hyperlink"/>
                  <w:rFonts w:ascii="Times New Roman" w:hAnsi="Times New Roman"/>
                  <w:sz w:val="24"/>
                  <w:szCs w:val="24"/>
                </w:rPr>
                <w:t>https://www.dol.gov/whd/overtime/final2016/nonprofit-guidance.pdf</w:t>
              </w:r>
            </w:hyperlink>
            <w:r w:rsidR="00E47071">
              <w:rPr>
                <w:rFonts w:ascii="Times New Roman" w:hAnsi="Times New Roman" w:cs="Times New Roman"/>
                <w:sz w:val="24"/>
                <w:szCs w:val="24"/>
              </w:rPr>
              <w:t xml:space="preserve"> </w:t>
            </w:r>
          </w:p>
        </w:tc>
      </w:tr>
      <w:tr w:rsidR="00D06548" w:rsidRPr="00DA7FA2" w:rsidTr="00E47071">
        <w:tc>
          <w:tcPr>
            <w:tcW w:w="2425" w:type="dxa"/>
          </w:tcPr>
          <w:p w:rsidR="00D06548" w:rsidRDefault="00D06548" w:rsidP="00791E6B">
            <w:pPr>
              <w:spacing w:before="100" w:beforeAutospacing="1" w:after="100" w:afterAutospacing="1"/>
              <w:ind w:right="240"/>
              <w:rPr>
                <w:rFonts w:ascii="Times New Roman" w:eastAsia="Times New Roman" w:hAnsi="Times New Roman"/>
                <w:lang w:val="en"/>
              </w:rPr>
            </w:pPr>
            <w:r>
              <w:rPr>
                <w:rFonts w:ascii="Times New Roman" w:eastAsia="Times New Roman" w:hAnsi="Times New Roman"/>
                <w:lang w:val="en"/>
              </w:rPr>
              <w:t>Fact Sheet #17D:  Exemption for Professional Employees under FLSA</w:t>
            </w:r>
          </w:p>
        </w:tc>
        <w:tc>
          <w:tcPr>
            <w:tcW w:w="7020" w:type="dxa"/>
          </w:tcPr>
          <w:p w:rsidR="00D06548" w:rsidRDefault="00866A4F" w:rsidP="00D66C20">
            <w:pPr>
              <w:rPr>
                <w:rFonts w:ascii="Times New Roman" w:hAnsi="Times New Roman"/>
                <w:sz w:val="24"/>
                <w:szCs w:val="24"/>
              </w:rPr>
            </w:pPr>
            <w:hyperlink r:id="rId21" w:history="1">
              <w:r w:rsidR="00D06548" w:rsidRPr="00E37761">
                <w:rPr>
                  <w:rStyle w:val="Hyperlink"/>
                  <w:rFonts w:ascii="Times New Roman" w:hAnsi="Times New Roman" w:cs="Times New Roman"/>
                  <w:sz w:val="24"/>
                  <w:szCs w:val="24"/>
                </w:rPr>
                <w:t>https://www.dol.gov/whd/overtime/fs17d_professional.htm</w:t>
              </w:r>
            </w:hyperlink>
          </w:p>
        </w:tc>
      </w:tr>
      <w:tr w:rsidR="00E37761" w:rsidRPr="00DA7FA2" w:rsidTr="00E47071">
        <w:tc>
          <w:tcPr>
            <w:tcW w:w="2425" w:type="dxa"/>
          </w:tcPr>
          <w:p w:rsidR="00E37761" w:rsidRDefault="00E37761" w:rsidP="00791E6B">
            <w:pPr>
              <w:spacing w:before="100" w:beforeAutospacing="1" w:after="100" w:afterAutospacing="1"/>
              <w:ind w:right="240"/>
              <w:rPr>
                <w:rFonts w:ascii="Times New Roman" w:eastAsia="Times New Roman" w:hAnsi="Times New Roman"/>
                <w:lang w:val="en"/>
              </w:rPr>
            </w:pPr>
            <w:r>
              <w:rPr>
                <w:rFonts w:ascii="Times New Roman" w:eastAsia="Times New Roman" w:hAnsi="Times New Roman"/>
                <w:lang w:val="en"/>
              </w:rPr>
              <w:t>Fact Sheet #17H:  Highly Compensated Workers</w:t>
            </w:r>
          </w:p>
        </w:tc>
        <w:tc>
          <w:tcPr>
            <w:tcW w:w="7020" w:type="dxa"/>
          </w:tcPr>
          <w:p w:rsidR="00E37761" w:rsidRPr="00E37761" w:rsidRDefault="00866A4F" w:rsidP="00D66C20">
            <w:pPr>
              <w:rPr>
                <w:rFonts w:ascii="Times New Roman" w:hAnsi="Times New Roman" w:cs="Times New Roman"/>
                <w:sz w:val="24"/>
                <w:szCs w:val="24"/>
              </w:rPr>
            </w:pPr>
            <w:hyperlink r:id="rId22" w:history="1">
              <w:r w:rsidR="00E37761" w:rsidRPr="00E66981">
                <w:rPr>
                  <w:rStyle w:val="Hyperlink"/>
                  <w:rFonts w:ascii="Times New Roman" w:hAnsi="Times New Roman"/>
                  <w:sz w:val="24"/>
                  <w:szCs w:val="24"/>
                </w:rPr>
                <w:t>https://www.dol.gov/whd/overtime/fs17h_highly_comp.pdf</w:t>
              </w:r>
            </w:hyperlink>
            <w:r w:rsidR="00E37761">
              <w:rPr>
                <w:rFonts w:ascii="Times New Roman" w:hAnsi="Times New Roman" w:cs="Times New Roman"/>
                <w:sz w:val="24"/>
                <w:szCs w:val="24"/>
              </w:rPr>
              <w:t xml:space="preserve"> </w:t>
            </w:r>
          </w:p>
        </w:tc>
      </w:tr>
    </w:tbl>
    <w:p w:rsidR="00E47071" w:rsidRDefault="00E47071" w:rsidP="00E47071">
      <w:pPr>
        <w:rPr>
          <w:rFonts w:ascii="Times New Roman" w:eastAsiaTheme="minorEastAsia" w:hAnsi="Times New Roman"/>
          <w:sz w:val="24"/>
          <w:szCs w:val="24"/>
        </w:rPr>
      </w:pPr>
      <w:r>
        <w:rPr>
          <w:rFonts w:ascii="Times New Roman" w:eastAsiaTheme="minorEastAsia" w:hAnsi="Times New Roman"/>
          <w:sz w:val="24"/>
          <w:szCs w:val="24"/>
        </w:rPr>
        <w:lastRenderedPageBreak/>
        <w:t>In addition, here are some non-DOL resources</w:t>
      </w:r>
      <w:r w:rsidR="00AB50C0" w:rsidRPr="00DA7FA2">
        <w:rPr>
          <w:rFonts w:ascii="Times New Roman" w:eastAsiaTheme="minorEastAsia" w:hAnsi="Times New Roman"/>
          <w:sz w:val="24"/>
          <w:szCs w:val="24"/>
        </w:rPr>
        <w:t xml:space="preserve"> on the </w:t>
      </w:r>
      <w:r>
        <w:rPr>
          <w:rFonts w:ascii="Times New Roman" w:eastAsiaTheme="minorEastAsia" w:hAnsi="Times New Roman"/>
          <w:sz w:val="24"/>
          <w:szCs w:val="24"/>
        </w:rPr>
        <w:t xml:space="preserve">final rule:  </w:t>
      </w:r>
    </w:p>
    <w:p w:rsidR="00AB50C0" w:rsidRPr="00E47071" w:rsidRDefault="00866A4F" w:rsidP="00E47071">
      <w:pPr>
        <w:pStyle w:val="ListParagraph"/>
        <w:numPr>
          <w:ilvl w:val="0"/>
          <w:numId w:val="22"/>
        </w:numPr>
        <w:rPr>
          <w:rFonts w:ascii="Times New Roman" w:eastAsiaTheme="minorEastAsia" w:hAnsi="Times New Roman"/>
          <w:sz w:val="24"/>
          <w:szCs w:val="24"/>
        </w:rPr>
      </w:pPr>
      <w:hyperlink r:id="rId23" w:history="1">
        <w:r w:rsidR="00AB50C0" w:rsidRPr="00E47071">
          <w:rPr>
            <w:rStyle w:val="Hyperlink"/>
            <w:rFonts w:ascii="Times New Roman" w:eastAsiaTheme="minorEastAsia" w:hAnsi="Times New Roman"/>
            <w:sz w:val="24"/>
            <w:szCs w:val="24"/>
          </w:rPr>
          <w:t>National Council of Nonprofits Overtime Regulations and the Impact on Nonprofits</w:t>
        </w:r>
      </w:hyperlink>
    </w:p>
    <w:p w:rsidR="00AB50C0" w:rsidRPr="00DA7FA2" w:rsidRDefault="00866A4F" w:rsidP="00F064CA">
      <w:pPr>
        <w:pStyle w:val="ListParagraph"/>
        <w:numPr>
          <w:ilvl w:val="0"/>
          <w:numId w:val="19"/>
        </w:numPr>
        <w:spacing w:after="160" w:line="259" w:lineRule="auto"/>
        <w:rPr>
          <w:rFonts w:ascii="Times New Roman" w:eastAsiaTheme="minorEastAsia" w:hAnsi="Times New Roman"/>
          <w:sz w:val="24"/>
          <w:szCs w:val="24"/>
        </w:rPr>
      </w:pPr>
      <w:hyperlink r:id="rId24" w:history="1">
        <w:r w:rsidR="00444234" w:rsidRPr="00444234">
          <w:rPr>
            <w:rStyle w:val="Hyperlink"/>
            <w:rFonts w:ascii="Times New Roman" w:eastAsiaTheme="minorEastAsia" w:hAnsi="Times New Roman"/>
            <w:sz w:val="24"/>
            <w:szCs w:val="24"/>
          </w:rPr>
          <w:t>B</w:t>
        </w:r>
        <w:r w:rsidR="00AB50C0" w:rsidRPr="00444234">
          <w:rPr>
            <w:rStyle w:val="Hyperlink"/>
            <w:rFonts w:ascii="Times New Roman" w:eastAsiaTheme="minorEastAsia" w:hAnsi="Times New Roman"/>
            <w:sz w:val="24"/>
            <w:szCs w:val="24"/>
          </w:rPr>
          <w:t>log: Nonprofits and the Proposed Overtime Rule</w:t>
        </w:r>
      </w:hyperlink>
      <w:r w:rsidR="00AB50C0" w:rsidRPr="00DA7FA2">
        <w:rPr>
          <w:rFonts w:ascii="Times New Roman" w:eastAsiaTheme="minorEastAsia" w:hAnsi="Times New Roman"/>
          <w:sz w:val="24"/>
          <w:szCs w:val="24"/>
        </w:rPr>
        <w:t xml:space="preserve"> </w:t>
      </w:r>
    </w:p>
    <w:p w:rsidR="00E47071" w:rsidRDefault="00E47071" w:rsidP="00E47071">
      <w:pPr>
        <w:pStyle w:val="NoSpacing"/>
      </w:pPr>
    </w:p>
    <w:p w:rsidR="00DF4247" w:rsidRDefault="00DF4247" w:rsidP="00791E6B">
      <w:pPr>
        <w:spacing w:after="160" w:line="259" w:lineRule="auto"/>
        <w:rPr>
          <w:rFonts w:ascii="Times New Roman" w:eastAsiaTheme="minorEastAsia" w:hAnsi="Times New Roman"/>
          <w:b/>
          <w:sz w:val="24"/>
          <w:szCs w:val="24"/>
        </w:rPr>
      </w:pPr>
      <w:r>
        <w:rPr>
          <w:rFonts w:ascii="Times New Roman" w:eastAsiaTheme="minorEastAsia" w:hAnsi="Times New Roman"/>
          <w:b/>
          <w:sz w:val="24"/>
          <w:szCs w:val="24"/>
        </w:rPr>
        <w:t>ACTION REQUIRED:</w:t>
      </w:r>
    </w:p>
    <w:p w:rsidR="00DF4247" w:rsidRDefault="00DF4247" w:rsidP="00791E6B">
      <w:pPr>
        <w:spacing w:after="160" w:line="259" w:lineRule="auto"/>
        <w:rPr>
          <w:rFonts w:ascii="Times New Roman" w:eastAsiaTheme="minorEastAsia" w:hAnsi="Times New Roman"/>
          <w:sz w:val="24"/>
          <w:szCs w:val="24"/>
        </w:rPr>
      </w:pPr>
      <w:r>
        <w:rPr>
          <w:rFonts w:ascii="Times New Roman" w:eastAsiaTheme="minorEastAsia" w:hAnsi="Times New Roman"/>
          <w:sz w:val="24"/>
          <w:szCs w:val="24"/>
        </w:rPr>
        <w:t xml:space="preserve">If your health center has not evaluated </w:t>
      </w:r>
      <w:r w:rsidR="00723F86">
        <w:rPr>
          <w:rFonts w:ascii="Times New Roman" w:eastAsiaTheme="minorEastAsia" w:hAnsi="Times New Roman"/>
          <w:sz w:val="24"/>
          <w:szCs w:val="24"/>
        </w:rPr>
        <w:t>all positions against the final rule to determine which, if any, employees will be impacted, you should do so to ensure any necessary changes are made to comply with the Dec. 1, 2016 deadline.</w:t>
      </w:r>
      <w:r w:rsidR="00526B50">
        <w:rPr>
          <w:rFonts w:ascii="Times New Roman" w:eastAsiaTheme="minorEastAsia" w:hAnsi="Times New Roman"/>
          <w:sz w:val="24"/>
          <w:szCs w:val="24"/>
        </w:rPr>
        <w:t xml:space="preserve">  Your options for employees impacted by the rule are:</w:t>
      </w:r>
    </w:p>
    <w:p w:rsidR="00526B50" w:rsidRPr="00526B50" w:rsidRDefault="00526B50" w:rsidP="00526B50">
      <w:pPr>
        <w:pStyle w:val="ListParagraph"/>
        <w:numPr>
          <w:ilvl w:val="0"/>
          <w:numId w:val="21"/>
        </w:numPr>
        <w:spacing w:after="160" w:line="259" w:lineRule="auto"/>
        <w:rPr>
          <w:rStyle w:val="hscoswrapper"/>
          <w:rFonts w:ascii="Times New Roman" w:eastAsiaTheme="minorEastAsia" w:hAnsi="Times New Roman"/>
          <w:sz w:val="24"/>
          <w:szCs w:val="24"/>
        </w:rPr>
      </w:pPr>
      <w:r>
        <w:rPr>
          <w:rStyle w:val="hscoswrapper"/>
          <w:rFonts w:ascii="Times New Roman" w:hAnsi="Times New Roman"/>
          <w:b/>
          <w:sz w:val="24"/>
          <w:szCs w:val="24"/>
        </w:rPr>
        <w:t xml:space="preserve">Raise Exempt Employees’ Salaries to the Threshold.  </w:t>
      </w:r>
      <w:r w:rsidRPr="00526B50">
        <w:rPr>
          <w:rStyle w:val="hscoswrapper"/>
          <w:rFonts w:ascii="Times New Roman" w:hAnsi="Times New Roman"/>
          <w:sz w:val="24"/>
          <w:szCs w:val="24"/>
        </w:rPr>
        <w:t>Beginning December 1, 2016, employees who receive less than $913 per week are considered "non-exempt" and must be paid at least the minimum wage and overtime. Employees who are paid a salary of at least $913 per week and perform job duties that meet the administrative, executive, or professional exemption, may be classified as "exempt." If an exemption no longer applies (i.e. the employee no longer performs certain job duties, or earns less than $913 per week), the employee should be promptly reclassified as "non-exempt" and paid overtime in accordance with federal and state law.</w:t>
      </w:r>
    </w:p>
    <w:p w:rsidR="00526B50" w:rsidRPr="00526B50" w:rsidRDefault="00526B50" w:rsidP="00526B50">
      <w:pPr>
        <w:pStyle w:val="ListParagraph"/>
        <w:spacing w:after="160" w:line="259" w:lineRule="auto"/>
        <w:rPr>
          <w:rStyle w:val="hscoswrapper"/>
          <w:rFonts w:ascii="Times New Roman" w:eastAsiaTheme="minorEastAsia" w:hAnsi="Times New Roman"/>
          <w:sz w:val="24"/>
          <w:szCs w:val="24"/>
        </w:rPr>
      </w:pPr>
    </w:p>
    <w:p w:rsidR="00526B50" w:rsidRDefault="00526B50" w:rsidP="00526B50">
      <w:pPr>
        <w:pStyle w:val="NoSpacing"/>
        <w:numPr>
          <w:ilvl w:val="0"/>
          <w:numId w:val="21"/>
        </w:numPr>
        <w:rPr>
          <w:rStyle w:val="hscoswrapper"/>
          <w:szCs w:val="24"/>
        </w:rPr>
      </w:pPr>
      <w:r>
        <w:rPr>
          <w:rStyle w:val="hscoswrapper"/>
          <w:b/>
          <w:szCs w:val="24"/>
        </w:rPr>
        <w:t xml:space="preserve">Reclassify Employees as Non-Exempt.  </w:t>
      </w:r>
      <w:r w:rsidRPr="00526B50">
        <w:rPr>
          <w:rStyle w:val="hscoswrapper"/>
          <w:szCs w:val="24"/>
        </w:rPr>
        <w:t>Compare the costs of raising an exempt employee's salary to reclassifying the employee as non-exempt and paying them overtime when they work more than 40 hours in a workweek. If an employee's salary is well below the new minimum and they rarely work overtime, it may be more cost-effective to reclassify them as non-exempt. Conversely, if an employee's salary is closer to the new minimum or they frequently work overtime, you may want to consider raising their salary to maintain the exemption. Remember that with automatic adjustments every three years, you will need to review and adjust exempt employees' salaries at least every three years.</w:t>
      </w:r>
    </w:p>
    <w:p w:rsidR="00526B50" w:rsidRDefault="00526B50" w:rsidP="00526B50">
      <w:pPr>
        <w:pStyle w:val="NoSpacing"/>
        <w:rPr>
          <w:rFonts w:eastAsiaTheme="minorEastAsia"/>
        </w:rPr>
      </w:pPr>
    </w:p>
    <w:p w:rsidR="00526B50" w:rsidRPr="00526B50" w:rsidRDefault="00526B50" w:rsidP="00526B50">
      <w:pPr>
        <w:pStyle w:val="NoSpacing"/>
        <w:rPr>
          <w:rFonts w:eastAsiaTheme="minorEastAsia"/>
        </w:rPr>
      </w:pPr>
    </w:p>
    <w:p w:rsidR="00791E6B" w:rsidRPr="00791E6B" w:rsidRDefault="00791E6B" w:rsidP="00791E6B">
      <w:pPr>
        <w:spacing w:after="160" w:line="259" w:lineRule="auto"/>
        <w:rPr>
          <w:rFonts w:ascii="Times New Roman" w:eastAsiaTheme="minorEastAsia" w:hAnsi="Times New Roman"/>
          <w:sz w:val="24"/>
          <w:szCs w:val="24"/>
        </w:rPr>
      </w:pPr>
      <w:r>
        <w:rPr>
          <w:rFonts w:ascii="Times New Roman" w:eastAsiaTheme="minorEastAsia" w:hAnsi="Times New Roman"/>
          <w:b/>
          <w:sz w:val="24"/>
          <w:szCs w:val="24"/>
        </w:rPr>
        <w:t xml:space="preserve">FOR MORE INFORMATION:  </w:t>
      </w:r>
      <w:r>
        <w:rPr>
          <w:rFonts w:ascii="Times New Roman" w:eastAsiaTheme="minorEastAsia" w:hAnsi="Times New Roman"/>
          <w:sz w:val="24"/>
          <w:szCs w:val="24"/>
        </w:rPr>
        <w:t xml:space="preserve">Questions may be directed to Serina Gaston, PACHC Director of Strategic Initiatives &amp; Corporate Compliance, at </w:t>
      </w:r>
      <w:hyperlink r:id="rId25" w:history="1">
        <w:r w:rsidRPr="00841C6B">
          <w:rPr>
            <w:rStyle w:val="Hyperlink"/>
            <w:rFonts w:ascii="Times New Roman" w:eastAsiaTheme="minorEastAsia" w:hAnsi="Times New Roman"/>
            <w:sz w:val="24"/>
            <w:szCs w:val="24"/>
          </w:rPr>
          <w:t>serina@pachc.org</w:t>
        </w:r>
      </w:hyperlink>
      <w:r>
        <w:rPr>
          <w:rFonts w:ascii="Times New Roman" w:eastAsiaTheme="minorEastAsia" w:hAnsi="Times New Roman"/>
          <w:sz w:val="24"/>
          <w:szCs w:val="24"/>
        </w:rPr>
        <w:t>; (717) 761-6443, ext. 210.</w:t>
      </w:r>
    </w:p>
    <w:sectPr w:rsidR="00791E6B" w:rsidRPr="00791E6B" w:rsidSect="00416B81">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03D" w:rsidRDefault="0069703D" w:rsidP="00FC5B77">
      <w:pPr>
        <w:spacing w:after="0"/>
      </w:pPr>
      <w:r>
        <w:separator/>
      </w:r>
    </w:p>
  </w:endnote>
  <w:endnote w:type="continuationSeparator" w:id="0">
    <w:p w:rsidR="0069703D" w:rsidRDefault="0069703D" w:rsidP="00FC5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03D" w:rsidRDefault="0069703D" w:rsidP="00FC5B77">
      <w:pPr>
        <w:spacing w:after="0"/>
      </w:pPr>
      <w:r>
        <w:separator/>
      </w:r>
    </w:p>
  </w:footnote>
  <w:footnote w:type="continuationSeparator" w:id="0">
    <w:p w:rsidR="0069703D" w:rsidRDefault="0069703D" w:rsidP="00FC5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A24" w:rsidRPr="00FC5B77" w:rsidRDefault="00E46A24" w:rsidP="00FC5B77">
    <w:pPr>
      <w:pStyle w:val="Header"/>
      <w:jc w:val="right"/>
      <w:rPr>
        <w:rFonts w:ascii="Times New Roman" w:hAnsi="Times New Roman"/>
      </w:rPr>
    </w:pPr>
    <w:r w:rsidRPr="00FC5B77">
      <w:rPr>
        <w:rFonts w:ascii="Times New Roman" w:hAnsi="Times New Roman"/>
      </w:rPr>
      <w:fldChar w:fldCharType="begin"/>
    </w:r>
    <w:r w:rsidRPr="00FC5B77">
      <w:rPr>
        <w:rFonts w:ascii="Times New Roman" w:hAnsi="Times New Roman"/>
      </w:rPr>
      <w:instrText xml:space="preserve"> PAGE   \* MERGEFORMAT </w:instrText>
    </w:r>
    <w:r w:rsidRPr="00FC5B77">
      <w:rPr>
        <w:rFonts w:ascii="Times New Roman" w:hAnsi="Times New Roman"/>
      </w:rPr>
      <w:fldChar w:fldCharType="separate"/>
    </w:r>
    <w:r w:rsidR="00866A4F">
      <w:rPr>
        <w:rFonts w:ascii="Times New Roman" w:hAnsi="Times New Roman"/>
        <w:noProof/>
      </w:rPr>
      <w:t>4</w:t>
    </w:r>
    <w:r w:rsidRPr="00FC5B77">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numFmt w:val="decimal"/>
      <w:lvlText w:val=""/>
      <w:lvlJc w:val="left"/>
    </w:lvl>
  </w:abstractNum>
  <w:abstractNum w:abstractNumId="1" w15:restartNumberingAfterBreak="0">
    <w:nsid w:val="006D0ABE"/>
    <w:multiLevelType w:val="hybridMultilevel"/>
    <w:tmpl w:val="81FA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B1B1F"/>
    <w:multiLevelType w:val="hybridMultilevel"/>
    <w:tmpl w:val="EB78E7C4"/>
    <w:lvl w:ilvl="0" w:tplc="B1DE144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567EA"/>
    <w:multiLevelType w:val="multilevel"/>
    <w:tmpl w:val="7C7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544A7C"/>
    <w:multiLevelType w:val="hybridMultilevel"/>
    <w:tmpl w:val="56E8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65E4D"/>
    <w:multiLevelType w:val="hybridMultilevel"/>
    <w:tmpl w:val="7BC8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E54EB"/>
    <w:multiLevelType w:val="hybridMultilevel"/>
    <w:tmpl w:val="0ADAB8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8646AF6"/>
    <w:multiLevelType w:val="hybridMultilevel"/>
    <w:tmpl w:val="0D86533C"/>
    <w:lvl w:ilvl="0" w:tplc="AE58D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854B94"/>
    <w:multiLevelType w:val="hybridMultilevel"/>
    <w:tmpl w:val="7186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F5FE9"/>
    <w:multiLevelType w:val="hybridMultilevel"/>
    <w:tmpl w:val="B2A4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E0EE4"/>
    <w:multiLevelType w:val="hybridMultilevel"/>
    <w:tmpl w:val="0F823FC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FA1AAD"/>
    <w:multiLevelType w:val="hybridMultilevel"/>
    <w:tmpl w:val="7CEE5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4E4F31"/>
    <w:multiLevelType w:val="multilevel"/>
    <w:tmpl w:val="7CF8B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3648C9"/>
    <w:multiLevelType w:val="hybridMultilevel"/>
    <w:tmpl w:val="0BE0F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46178"/>
    <w:multiLevelType w:val="hybridMultilevel"/>
    <w:tmpl w:val="045EC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AE2EFC"/>
    <w:multiLevelType w:val="hybridMultilevel"/>
    <w:tmpl w:val="6FEE6022"/>
    <w:lvl w:ilvl="0" w:tplc="F404F284">
      <w:start w:val="20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AD584B"/>
    <w:multiLevelType w:val="hybridMultilevel"/>
    <w:tmpl w:val="9A96ECB8"/>
    <w:lvl w:ilvl="0" w:tplc="FEEC3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5F1123"/>
    <w:multiLevelType w:val="hybridMultilevel"/>
    <w:tmpl w:val="6256D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9D72E0"/>
    <w:multiLevelType w:val="hybridMultilevel"/>
    <w:tmpl w:val="3EB2B690"/>
    <w:lvl w:ilvl="0" w:tplc="F404F284">
      <w:start w:val="20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A370EF"/>
    <w:multiLevelType w:val="hybridMultilevel"/>
    <w:tmpl w:val="B3E2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2C681E"/>
    <w:multiLevelType w:val="hybridMultilevel"/>
    <w:tmpl w:val="3DC8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700F0"/>
    <w:multiLevelType w:val="hybridMultilevel"/>
    <w:tmpl w:val="3D88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5"/>
  </w:num>
  <w:num w:numId="4">
    <w:abstractNumId w:val="1"/>
  </w:num>
  <w:num w:numId="5">
    <w:abstractNumId w:val="12"/>
  </w:num>
  <w:num w:numId="6">
    <w:abstractNumId w:val="2"/>
  </w:num>
  <w:num w:numId="7">
    <w:abstractNumId w:val="16"/>
  </w:num>
  <w:num w:numId="8">
    <w:abstractNumId w:val="10"/>
  </w:num>
  <w:num w:numId="9">
    <w:abstractNumId w:val="4"/>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7"/>
  </w:num>
  <w:num w:numId="13">
    <w:abstractNumId w:val="7"/>
  </w:num>
  <w:num w:numId="14">
    <w:abstractNumId w:val="19"/>
  </w:num>
  <w:num w:numId="15">
    <w:abstractNumId w:val="8"/>
  </w:num>
  <w:num w:numId="16">
    <w:abstractNumId w:val="11"/>
  </w:num>
  <w:num w:numId="17">
    <w:abstractNumId w:val="13"/>
  </w:num>
  <w:num w:numId="18">
    <w:abstractNumId w:val="3"/>
  </w:num>
  <w:num w:numId="19">
    <w:abstractNumId w:val="14"/>
  </w:num>
  <w:num w:numId="20">
    <w:abstractNumId w:val="9"/>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61"/>
    <w:rsid w:val="00007BFA"/>
    <w:rsid w:val="000232F9"/>
    <w:rsid w:val="00032DBB"/>
    <w:rsid w:val="00037784"/>
    <w:rsid w:val="00045296"/>
    <w:rsid w:val="000522DA"/>
    <w:rsid w:val="00061874"/>
    <w:rsid w:val="00076AB6"/>
    <w:rsid w:val="000E3AE9"/>
    <w:rsid w:val="000F248E"/>
    <w:rsid w:val="00113546"/>
    <w:rsid w:val="00114915"/>
    <w:rsid w:val="00132B21"/>
    <w:rsid w:val="00151E3D"/>
    <w:rsid w:val="001630C7"/>
    <w:rsid w:val="00164F1C"/>
    <w:rsid w:val="00170A88"/>
    <w:rsid w:val="00182128"/>
    <w:rsid w:val="001A70A0"/>
    <w:rsid w:val="001D1CFC"/>
    <w:rsid w:val="001D294A"/>
    <w:rsid w:val="001F6B11"/>
    <w:rsid w:val="00225146"/>
    <w:rsid w:val="00243386"/>
    <w:rsid w:val="00262651"/>
    <w:rsid w:val="00266FF9"/>
    <w:rsid w:val="002C6BD8"/>
    <w:rsid w:val="003103ED"/>
    <w:rsid w:val="0034688E"/>
    <w:rsid w:val="00377740"/>
    <w:rsid w:val="003B0DC6"/>
    <w:rsid w:val="003C34C4"/>
    <w:rsid w:val="003C359C"/>
    <w:rsid w:val="003D5801"/>
    <w:rsid w:val="00416B81"/>
    <w:rsid w:val="0041736E"/>
    <w:rsid w:val="00444234"/>
    <w:rsid w:val="00444CA0"/>
    <w:rsid w:val="00460255"/>
    <w:rsid w:val="0048224D"/>
    <w:rsid w:val="00484034"/>
    <w:rsid w:val="004B1461"/>
    <w:rsid w:val="004C770C"/>
    <w:rsid w:val="005105EA"/>
    <w:rsid w:val="00514D76"/>
    <w:rsid w:val="0051557B"/>
    <w:rsid w:val="00526B50"/>
    <w:rsid w:val="00590315"/>
    <w:rsid w:val="005B2353"/>
    <w:rsid w:val="005B54F9"/>
    <w:rsid w:val="005E3A78"/>
    <w:rsid w:val="005F7558"/>
    <w:rsid w:val="00601489"/>
    <w:rsid w:val="0060624B"/>
    <w:rsid w:val="00636C1E"/>
    <w:rsid w:val="006578A2"/>
    <w:rsid w:val="00673C22"/>
    <w:rsid w:val="0069703D"/>
    <w:rsid w:val="006971F1"/>
    <w:rsid w:val="006A72D8"/>
    <w:rsid w:val="006E0BA7"/>
    <w:rsid w:val="00710C3D"/>
    <w:rsid w:val="00711E18"/>
    <w:rsid w:val="007130B8"/>
    <w:rsid w:val="00723F86"/>
    <w:rsid w:val="00777FE9"/>
    <w:rsid w:val="00791E6B"/>
    <w:rsid w:val="0079706F"/>
    <w:rsid w:val="007B0200"/>
    <w:rsid w:val="007E6830"/>
    <w:rsid w:val="007E6FF2"/>
    <w:rsid w:val="00801429"/>
    <w:rsid w:val="00805649"/>
    <w:rsid w:val="008123A0"/>
    <w:rsid w:val="008149F1"/>
    <w:rsid w:val="00845E06"/>
    <w:rsid w:val="008577B9"/>
    <w:rsid w:val="00866A4F"/>
    <w:rsid w:val="008711FE"/>
    <w:rsid w:val="008C5B09"/>
    <w:rsid w:val="0090287F"/>
    <w:rsid w:val="00906E46"/>
    <w:rsid w:val="00935449"/>
    <w:rsid w:val="00947CE9"/>
    <w:rsid w:val="00960032"/>
    <w:rsid w:val="00967DCF"/>
    <w:rsid w:val="00986702"/>
    <w:rsid w:val="009959C1"/>
    <w:rsid w:val="009A406E"/>
    <w:rsid w:val="009B728C"/>
    <w:rsid w:val="009E5C41"/>
    <w:rsid w:val="009F18EC"/>
    <w:rsid w:val="009F67A7"/>
    <w:rsid w:val="00A07615"/>
    <w:rsid w:val="00A1152B"/>
    <w:rsid w:val="00A752DE"/>
    <w:rsid w:val="00AB50C0"/>
    <w:rsid w:val="00AF6B84"/>
    <w:rsid w:val="00B32A18"/>
    <w:rsid w:val="00B72559"/>
    <w:rsid w:val="00B754AD"/>
    <w:rsid w:val="00B84FA3"/>
    <w:rsid w:val="00B94B0A"/>
    <w:rsid w:val="00BE7654"/>
    <w:rsid w:val="00C258BA"/>
    <w:rsid w:val="00CA3E10"/>
    <w:rsid w:val="00CD4C51"/>
    <w:rsid w:val="00CE25F0"/>
    <w:rsid w:val="00CE6A88"/>
    <w:rsid w:val="00CF4D03"/>
    <w:rsid w:val="00CF7A34"/>
    <w:rsid w:val="00D02E61"/>
    <w:rsid w:val="00D04238"/>
    <w:rsid w:val="00D06548"/>
    <w:rsid w:val="00D33C5E"/>
    <w:rsid w:val="00D56D27"/>
    <w:rsid w:val="00D56D80"/>
    <w:rsid w:val="00D63AC4"/>
    <w:rsid w:val="00D66C20"/>
    <w:rsid w:val="00D817B8"/>
    <w:rsid w:val="00D85D41"/>
    <w:rsid w:val="00D9788E"/>
    <w:rsid w:val="00DA4682"/>
    <w:rsid w:val="00DA7FA2"/>
    <w:rsid w:val="00DD0AB0"/>
    <w:rsid w:val="00DF4247"/>
    <w:rsid w:val="00E054DC"/>
    <w:rsid w:val="00E32205"/>
    <w:rsid w:val="00E34526"/>
    <w:rsid w:val="00E37761"/>
    <w:rsid w:val="00E448C6"/>
    <w:rsid w:val="00E46A24"/>
    <w:rsid w:val="00E47071"/>
    <w:rsid w:val="00E61ED6"/>
    <w:rsid w:val="00E62987"/>
    <w:rsid w:val="00E72D7A"/>
    <w:rsid w:val="00E733E2"/>
    <w:rsid w:val="00E767A6"/>
    <w:rsid w:val="00EA2B9C"/>
    <w:rsid w:val="00EE3E65"/>
    <w:rsid w:val="00F064CA"/>
    <w:rsid w:val="00F07D33"/>
    <w:rsid w:val="00F07DD1"/>
    <w:rsid w:val="00F16D68"/>
    <w:rsid w:val="00F652DE"/>
    <w:rsid w:val="00F7389C"/>
    <w:rsid w:val="00F8400B"/>
    <w:rsid w:val="00F961A1"/>
    <w:rsid w:val="00FC5368"/>
    <w:rsid w:val="00FC5B77"/>
    <w:rsid w:val="00FD0313"/>
    <w:rsid w:val="00FE47AD"/>
    <w:rsid w:val="04ACA589"/>
    <w:rsid w:val="0A0E8FF4"/>
    <w:rsid w:val="0FBE2F44"/>
    <w:rsid w:val="13F46747"/>
    <w:rsid w:val="2BD5AF48"/>
    <w:rsid w:val="45F76F1E"/>
    <w:rsid w:val="66781A75"/>
    <w:rsid w:val="6B8FE465"/>
    <w:rsid w:val="6E4680EE"/>
    <w:rsid w:val="767DCCB6"/>
    <w:rsid w:val="7A58B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510FF-3052-4E79-A448-4DE61F26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1461"/>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5368"/>
    <w:rPr>
      <w:rFonts w:ascii="Times New Roman" w:hAnsi="Times New Roman"/>
      <w:sz w:val="24"/>
      <w:szCs w:val="22"/>
    </w:rPr>
  </w:style>
  <w:style w:type="paragraph" w:styleId="BalloonText">
    <w:name w:val="Balloon Text"/>
    <w:basedOn w:val="Normal"/>
    <w:link w:val="BalloonTextChar"/>
    <w:uiPriority w:val="99"/>
    <w:semiHidden/>
    <w:unhideWhenUsed/>
    <w:rsid w:val="001149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915"/>
    <w:rPr>
      <w:rFonts w:ascii="Tahoma" w:hAnsi="Tahoma" w:cs="Tahoma"/>
      <w:sz w:val="16"/>
      <w:szCs w:val="16"/>
    </w:rPr>
  </w:style>
  <w:style w:type="character" w:styleId="Hyperlink">
    <w:name w:val="Hyperlink"/>
    <w:basedOn w:val="DefaultParagraphFont"/>
    <w:uiPriority w:val="99"/>
    <w:unhideWhenUsed/>
    <w:rsid w:val="000232F9"/>
    <w:rPr>
      <w:color w:val="0000FF"/>
      <w:u w:val="single"/>
    </w:rPr>
  </w:style>
  <w:style w:type="paragraph" w:styleId="Header">
    <w:name w:val="header"/>
    <w:basedOn w:val="Normal"/>
    <w:link w:val="HeaderChar"/>
    <w:uiPriority w:val="99"/>
    <w:unhideWhenUsed/>
    <w:rsid w:val="00FC5B77"/>
    <w:pPr>
      <w:tabs>
        <w:tab w:val="center" w:pos="4680"/>
        <w:tab w:val="right" w:pos="9360"/>
      </w:tabs>
    </w:pPr>
  </w:style>
  <w:style w:type="character" w:customStyle="1" w:styleId="HeaderChar">
    <w:name w:val="Header Char"/>
    <w:basedOn w:val="DefaultParagraphFont"/>
    <w:link w:val="Header"/>
    <w:uiPriority w:val="99"/>
    <w:rsid w:val="00FC5B77"/>
    <w:rPr>
      <w:sz w:val="22"/>
      <w:szCs w:val="22"/>
    </w:rPr>
  </w:style>
  <w:style w:type="paragraph" w:styleId="Footer">
    <w:name w:val="footer"/>
    <w:basedOn w:val="Normal"/>
    <w:link w:val="FooterChar"/>
    <w:uiPriority w:val="99"/>
    <w:semiHidden/>
    <w:unhideWhenUsed/>
    <w:rsid w:val="00FC5B77"/>
    <w:pPr>
      <w:tabs>
        <w:tab w:val="center" w:pos="4680"/>
        <w:tab w:val="right" w:pos="9360"/>
      </w:tabs>
    </w:pPr>
  </w:style>
  <w:style w:type="character" w:customStyle="1" w:styleId="FooterChar">
    <w:name w:val="Footer Char"/>
    <w:basedOn w:val="DefaultParagraphFont"/>
    <w:link w:val="Footer"/>
    <w:uiPriority w:val="99"/>
    <w:semiHidden/>
    <w:rsid w:val="00FC5B77"/>
    <w:rPr>
      <w:sz w:val="22"/>
      <w:szCs w:val="22"/>
    </w:rPr>
  </w:style>
  <w:style w:type="paragraph" w:styleId="NormalWeb">
    <w:name w:val="Normal (Web)"/>
    <w:basedOn w:val="Normal"/>
    <w:uiPriority w:val="99"/>
    <w:unhideWhenUsed/>
    <w:rsid w:val="00673C22"/>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1D294A"/>
    <w:rPr>
      <w:color w:val="800080" w:themeColor="followedHyperlink"/>
      <w:u w:val="single"/>
    </w:rPr>
  </w:style>
  <w:style w:type="character" w:styleId="CommentReference">
    <w:name w:val="annotation reference"/>
    <w:basedOn w:val="DefaultParagraphFont"/>
    <w:uiPriority w:val="99"/>
    <w:semiHidden/>
    <w:unhideWhenUsed/>
    <w:rsid w:val="00CA3E10"/>
    <w:rPr>
      <w:sz w:val="16"/>
      <w:szCs w:val="16"/>
    </w:rPr>
  </w:style>
  <w:style w:type="paragraph" w:styleId="CommentText">
    <w:name w:val="annotation text"/>
    <w:basedOn w:val="Normal"/>
    <w:link w:val="CommentTextChar"/>
    <w:uiPriority w:val="99"/>
    <w:semiHidden/>
    <w:unhideWhenUsed/>
    <w:rsid w:val="00CA3E10"/>
    <w:rPr>
      <w:sz w:val="20"/>
      <w:szCs w:val="20"/>
    </w:rPr>
  </w:style>
  <w:style w:type="character" w:customStyle="1" w:styleId="CommentTextChar">
    <w:name w:val="Comment Text Char"/>
    <w:basedOn w:val="DefaultParagraphFont"/>
    <w:link w:val="CommentText"/>
    <w:uiPriority w:val="99"/>
    <w:semiHidden/>
    <w:rsid w:val="00CA3E10"/>
  </w:style>
  <w:style w:type="paragraph" w:styleId="CommentSubject">
    <w:name w:val="annotation subject"/>
    <w:basedOn w:val="CommentText"/>
    <w:next w:val="CommentText"/>
    <w:link w:val="CommentSubjectChar"/>
    <w:uiPriority w:val="99"/>
    <w:semiHidden/>
    <w:unhideWhenUsed/>
    <w:rsid w:val="00CA3E10"/>
    <w:rPr>
      <w:b/>
      <w:bCs/>
    </w:rPr>
  </w:style>
  <w:style w:type="character" w:customStyle="1" w:styleId="CommentSubjectChar">
    <w:name w:val="Comment Subject Char"/>
    <w:basedOn w:val="CommentTextChar"/>
    <w:link w:val="CommentSubject"/>
    <w:uiPriority w:val="99"/>
    <w:semiHidden/>
    <w:rsid w:val="00CA3E10"/>
    <w:rPr>
      <w:b/>
      <w:bCs/>
    </w:rPr>
  </w:style>
  <w:style w:type="paragraph" w:customStyle="1" w:styleId="H2">
    <w:name w:val="H2"/>
    <w:basedOn w:val="Normal"/>
    <w:next w:val="Normal"/>
    <w:uiPriority w:val="99"/>
    <w:rsid w:val="005F7558"/>
    <w:pPr>
      <w:keepNext/>
      <w:autoSpaceDE w:val="0"/>
      <w:autoSpaceDN w:val="0"/>
      <w:adjustRightInd w:val="0"/>
      <w:spacing w:before="100" w:after="100"/>
      <w:outlineLvl w:val="2"/>
    </w:pPr>
    <w:rPr>
      <w:rFonts w:ascii="Times New Roman" w:hAnsi="Times New Roman"/>
      <w:b/>
      <w:bCs/>
      <w:sz w:val="36"/>
      <w:szCs w:val="36"/>
    </w:rPr>
  </w:style>
  <w:style w:type="paragraph" w:customStyle="1" w:styleId="H4">
    <w:name w:val="H4"/>
    <w:basedOn w:val="Normal"/>
    <w:next w:val="Normal"/>
    <w:uiPriority w:val="99"/>
    <w:rsid w:val="005F7558"/>
    <w:pPr>
      <w:keepNext/>
      <w:autoSpaceDE w:val="0"/>
      <w:autoSpaceDN w:val="0"/>
      <w:adjustRightInd w:val="0"/>
      <w:spacing w:before="100" w:after="100"/>
      <w:outlineLvl w:val="4"/>
    </w:pPr>
    <w:rPr>
      <w:rFonts w:ascii="Times New Roman" w:hAnsi="Times New Roman"/>
      <w:b/>
      <w:bCs/>
      <w:sz w:val="24"/>
      <w:szCs w:val="24"/>
    </w:rPr>
  </w:style>
  <w:style w:type="character" w:styleId="Emphasis">
    <w:name w:val="Emphasis"/>
    <w:basedOn w:val="DefaultParagraphFont"/>
    <w:uiPriority w:val="99"/>
    <w:qFormat/>
    <w:rsid w:val="005F7558"/>
    <w:rPr>
      <w:i/>
      <w:iCs/>
    </w:rPr>
  </w:style>
  <w:style w:type="paragraph" w:styleId="ListParagraph">
    <w:name w:val="List Paragraph"/>
    <w:basedOn w:val="Normal"/>
    <w:uiPriority w:val="34"/>
    <w:qFormat/>
    <w:rsid w:val="005F7558"/>
    <w:pPr>
      <w:ind w:left="720"/>
      <w:contextualSpacing/>
    </w:pPr>
  </w:style>
  <w:style w:type="character" w:styleId="Strong">
    <w:name w:val="Strong"/>
    <w:basedOn w:val="DefaultParagraphFont"/>
    <w:uiPriority w:val="22"/>
    <w:qFormat/>
    <w:rsid w:val="00590315"/>
    <w:rPr>
      <w:b/>
      <w:bCs/>
    </w:rPr>
  </w:style>
  <w:style w:type="table" w:styleId="TableGrid">
    <w:name w:val="Table Grid"/>
    <w:basedOn w:val="TableNormal"/>
    <w:uiPriority w:val="39"/>
    <w:rsid w:val="0059031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77B9"/>
    <w:rPr>
      <w:sz w:val="22"/>
      <w:szCs w:val="22"/>
    </w:rPr>
  </w:style>
  <w:style w:type="character" w:customStyle="1" w:styleId="hscoswrapper">
    <w:name w:val="hs_cos_wrapper"/>
    <w:basedOn w:val="DefaultParagraphFont"/>
    <w:rsid w:val="00526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3874">
      <w:bodyDiv w:val="1"/>
      <w:marLeft w:val="0"/>
      <w:marRight w:val="0"/>
      <w:marTop w:val="0"/>
      <w:marBottom w:val="0"/>
      <w:divBdr>
        <w:top w:val="none" w:sz="0" w:space="0" w:color="auto"/>
        <w:left w:val="none" w:sz="0" w:space="0" w:color="auto"/>
        <w:bottom w:val="none" w:sz="0" w:space="0" w:color="auto"/>
        <w:right w:val="none" w:sz="0" w:space="0" w:color="auto"/>
      </w:divBdr>
      <w:divsChild>
        <w:div w:id="1075855578">
          <w:marLeft w:val="0"/>
          <w:marRight w:val="0"/>
          <w:marTop w:val="0"/>
          <w:marBottom w:val="0"/>
          <w:divBdr>
            <w:top w:val="none" w:sz="0" w:space="0" w:color="auto"/>
            <w:left w:val="none" w:sz="0" w:space="0" w:color="auto"/>
            <w:bottom w:val="none" w:sz="0" w:space="0" w:color="auto"/>
            <w:right w:val="none" w:sz="0" w:space="0" w:color="auto"/>
          </w:divBdr>
          <w:divsChild>
            <w:div w:id="1407727782">
              <w:marLeft w:val="0"/>
              <w:marRight w:val="0"/>
              <w:marTop w:val="0"/>
              <w:marBottom w:val="0"/>
              <w:divBdr>
                <w:top w:val="none" w:sz="0" w:space="0" w:color="auto"/>
                <w:left w:val="none" w:sz="0" w:space="0" w:color="auto"/>
                <w:bottom w:val="none" w:sz="0" w:space="0" w:color="auto"/>
                <w:right w:val="none" w:sz="0" w:space="0" w:color="auto"/>
              </w:divBdr>
              <w:divsChild>
                <w:div w:id="11507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4484">
      <w:bodyDiv w:val="1"/>
      <w:marLeft w:val="0"/>
      <w:marRight w:val="0"/>
      <w:marTop w:val="0"/>
      <w:marBottom w:val="0"/>
      <w:divBdr>
        <w:top w:val="none" w:sz="0" w:space="0" w:color="auto"/>
        <w:left w:val="none" w:sz="0" w:space="0" w:color="auto"/>
        <w:bottom w:val="none" w:sz="0" w:space="0" w:color="auto"/>
        <w:right w:val="none" w:sz="0" w:space="0" w:color="auto"/>
      </w:divBdr>
    </w:div>
    <w:div w:id="571043818">
      <w:bodyDiv w:val="1"/>
      <w:marLeft w:val="0"/>
      <w:marRight w:val="0"/>
      <w:marTop w:val="0"/>
      <w:marBottom w:val="0"/>
      <w:divBdr>
        <w:top w:val="none" w:sz="0" w:space="0" w:color="auto"/>
        <w:left w:val="none" w:sz="0" w:space="0" w:color="auto"/>
        <w:bottom w:val="none" w:sz="0" w:space="0" w:color="auto"/>
        <w:right w:val="none" w:sz="0" w:space="0" w:color="auto"/>
      </w:divBdr>
    </w:div>
    <w:div w:id="628241640">
      <w:bodyDiv w:val="1"/>
      <w:marLeft w:val="0"/>
      <w:marRight w:val="0"/>
      <w:marTop w:val="0"/>
      <w:marBottom w:val="0"/>
      <w:divBdr>
        <w:top w:val="none" w:sz="0" w:space="0" w:color="auto"/>
        <w:left w:val="none" w:sz="0" w:space="0" w:color="auto"/>
        <w:bottom w:val="none" w:sz="0" w:space="0" w:color="auto"/>
        <w:right w:val="none" w:sz="0" w:space="0" w:color="auto"/>
      </w:divBdr>
    </w:div>
    <w:div w:id="983316257">
      <w:bodyDiv w:val="1"/>
      <w:marLeft w:val="0"/>
      <w:marRight w:val="0"/>
      <w:marTop w:val="0"/>
      <w:marBottom w:val="0"/>
      <w:divBdr>
        <w:top w:val="none" w:sz="0" w:space="0" w:color="auto"/>
        <w:left w:val="none" w:sz="0" w:space="0" w:color="auto"/>
        <w:bottom w:val="none" w:sz="0" w:space="0" w:color="auto"/>
        <w:right w:val="none" w:sz="0" w:space="0" w:color="auto"/>
      </w:divBdr>
    </w:div>
    <w:div w:id="1301495210">
      <w:bodyDiv w:val="1"/>
      <w:marLeft w:val="0"/>
      <w:marRight w:val="0"/>
      <w:marTop w:val="0"/>
      <w:marBottom w:val="0"/>
      <w:divBdr>
        <w:top w:val="none" w:sz="0" w:space="0" w:color="auto"/>
        <w:left w:val="none" w:sz="0" w:space="0" w:color="auto"/>
        <w:bottom w:val="none" w:sz="0" w:space="0" w:color="auto"/>
        <w:right w:val="none" w:sz="0" w:space="0" w:color="auto"/>
      </w:divBdr>
      <w:divsChild>
        <w:div w:id="1188177121">
          <w:marLeft w:val="0"/>
          <w:marRight w:val="0"/>
          <w:marTop w:val="0"/>
          <w:marBottom w:val="0"/>
          <w:divBdr>
            <w:top w:val="none" w:sz="0" w:space="0" w:color="auto"/>
            <w:left w:val="none" w:sz="0" w:space="0" w:color="auto"/>
            <w:bottom w:val="none" w:sz="0" w:space="0" w:color="auto"/>
            <w:right w:val="none" w:sz="0" w:space="0" w:color="auto"/>
          </w:divBdr>
          <w:divsChild>
            <w:div w:id="526451567">
              <w:marLeft w:val="0"/>
              <w:marRight w:val="0"/>
              <w:marTop w:val="0"/>
              <w:marBottom w:val="0"/>
              <w:divBdr>
                <w:top w:val="none" w:sz="0" w:space="0" w:color="auto"/>
                <w:left w:val="none" w:sz="0" w:space="0" w:color="auto"/>
                <w:bottom w:val="none" w:sz="0" w:space="0" w:color="auto"/>
                <w:right w:val="none" w:sz="0" w:space="0" w:color="auto"/>
              </w:divBdr>
              <w:divsChild>
                <w:div w:id="432436566">
                  <w:marLeft w:val="3255"/>
                  <w:marRight w:val="225"/>
                  <w:marTop w:val="15"/>
                  <w:marBottom w:val="0"/>
                  <w:divBdr>
                    <w:top w:val="none" w:sz="0" w:space="0" w:color="auto"/>
                    <w:left w:val="none" w:sz="0" w:space="0" w:color="auto"/>
                    <w:bottom w:val="none" w:sz="0" w:space="0" w:color="auto"/>
                    <w:right w:val="none" w:sz="0" w:space="0" w:color="auto"/>
                  </w:divBdr>
                  <w:divsChild>
                    <w:div w:id="624314207">
                      <w:marLeft w:val="0"/>
                      <w:marRight w:val="0"/>
                      <w:marTop w:val="0"/>
                      <w:marBottom w:val="0"/>
                      <w:divBdr>
                        <w:top w:val="none" w:sz="0" w:space="0" w:color="auto"/>
                        <w:left w:val="none" w:sz="0" w:space="0" w:color="auto"/>
                        <w:bottom w:val="none" w:sz="0" w:space="0" w:color="auto"/>
                        <w:right w:val="none" w:sz="0" w:space="0" w:color="auto"/>
                      </w:divBdr>
                      <w:divsChild>
                        <w:div w:id="541864527">
                          <w:marLeft w:val="15"/>
                          <w:marRight w:val="3195"/>
                          <w:marTop w:val="0"/>
                          <w:marBottom w:val="0"/>
                          <w:divBdr>
                            <w:top w:val="none" w:sz="0" w:space="0" w:color="auto"/>
                            <w:left w:val="none" w:sz="0" w:space="0" w:color="auto"/>
                            <w:bottom w:val="none" w:sz="0" w:space="0" w:color="auto"/>
                            <w:right w:val="single" w:sz="6" w:space="8" w:color="00A1B1"/>
                          </w:divBdr>
                        </w:div>
                      </w:divsChild>
                    </w:div>
                  </w:divsChild>
                </w:div>
              </w:divsChild>
            </w:div>
          </w:divsChild>
        </w:div>
      </w:divsChild>
    </w:div>
    <w:div w:id="1944415382">
      <w:bodyDiv w:val="1"/>
      <w:marLeft w:val="0"/>
      <w:marRight w:val="0"/>
      <w:marTop w:val="0"/>
      <w:marBottom w:val="0"/>
      <w:divBdr>
        <w:top w:val="none" w:sz="0" w:space="0" w:color="auto"/>
        <w:left w:val="none" w:sz="0" w:space="0" w:color="auto"/>
        <w:bottom w:val="none" w:sz="0" w:space="0" w:color="auto"/>
        <w:right w:val="none" w:sz="0" w:space="0" w:color="auto"/>
      </w:divBdr>
    </w:div>
    <w:div w:id="1961254194">
      <w:bodyDiv w:val="1"/>
      <w:marLeft w:val="0"/>
      <w:marRight w:val="0"/>
      <w:marTop w:val="0"/>
      <w:marBottom w:val="0"/>
      <w:divBdr>
        <w:top w:val="none" w:sz="0" w:space="0" w:color="auto"/>
        <w:left w:val="none" w:sz="0" w:space="0" w:color="auto"/>
        <w:bottom w:val="none" w:sz="0" w:space="0" w:color="auto"/>
        <w:right w:val="none" w:sz="0" w:space="0" w:color="auto"/>
      </w:divBdr>
    </w:div>
    <w:div w:id="2021271897">
      <w:bodyDiv w:val="1"/>
      <w:marLeft w:val="0"/>
      <w:marRight w:val="0"/>
      <w:marTop w:val="0"/>
      <w:marBottom w:val="0"/>
      <w:divBdr>
        <w:top w:val="none" w:sz="0" w:space="0" w:color="auto"/>
        <w:left w:val="none" w:sz="0" w:space="0" w:color="auto"/>
        <w:bottom w:val="none" w:sz="0" w:space="0" w:color="auto"/>
        <w:right w:val="none" w:sz="0" w:space="0" w:color="auto"/>
      </w:divBdr>
      <w:divsChild>
        <w:div w:id="1632976099">
          <w:marLeft w:val="0"/>
          <w:marRight w:val="0"/>
          <w:marTop w:val="0"/>
          <w:marBottom w:val="0"/>
          <w:divBdr>
            <w:top w:val="none" w:sz="0" w:space="0" w:color="auto"/>
            <w:left w:val="none" w:sz="0" w:space="0" w:color="auto"/>
            <w:bottom w:val="none" w:sz="0" w:space="0" w:color="auto"/>
            <w:right w:val="none" w:sz="0" w:space="0" w:color="auto"/>
          </w:divBdr>
          <w:divsChild>
            <w:div w:id="526262704">
              <w:marLeft w:val="0"/>
              <w:marRight w:val="0"/>
              <w:marTop w:val="0"/>
              <w:marBottom w:val="0"/>
              <w:divBdr>
                <w:top w:val="none" w:sz="0" w:space="0" w:color="auto"/>
                <w:left w:val="none" w:sz="0" w:space="0" w:color="auto"/>
                <w:bottom w:val="none" w:sz="0" w:space="0" w:color="auto"/>
                <w:right w:val="none" w:sz="0" w:space="0" w:color="auto"/>
              </w:divBdr>
              <w:divsChild>
                <w:div w:id="2106074716">
                  <w:marLeft w:val="150"/>
                  <w:marRight w:val="150"/>
                  <w:marTop w:val="105"/>
                  <w:marBottom w:val="0"/>
                  <w:divBdr>
                    <w:top w:val="none" w:sz="0" w:space="0" w:color="auto"/>
                    <w:left w:val="none" w:sz="0" w:space="0" w:color="auto"/>
                    <w:bottom w:val="none" w:sz="0" w:space="0" w:color="auto"/>
                    <w:right w:val="none" w:sz="0" w:space="0" w:color="auto"/>
                  </w:divBdr>
                  <w:divsChild>
                    <w:div w:id="4852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5021">
      <w:bodyDiv w:val="1"/>
      <w:marLeft w:val="0"/>
      <w:marRight w:val="0"/>
      <w:marTop w:val="0"/>
      <w:marBottom w:val="0"/>
      <w:divBdr>
        <w:top w:val="none" w:sz="0" w:space="0" w:color="auto"/>
        <w:left w:val="none" w:sz="0" w:space="0" w:color="auto"/>
        <w:bottom w:val="none" w:sz="0" w:space="0" w:color="auto"/>
        <w:right w:val="none" w:sz="0" w:space="0" w:color="auto"/>
      </w:divBdr>
      <w:divsChild>
        <w:div w:id="2000689737">
          <w:marLeft w:val="0"/>
          <w:marRight w:val="0"/>
          <w:marTop w:val="0"/>
          <w:marBottom w:val="0"/>
          <w:divBdr>
            <w:top w:val="none" w:sz="0" w:space="0" w:color="auto"/>
            <w:left w:val="none" w:sz="0" w:space="0" w:color="auto"/>
            <w:bottom w:val="none" w:sz="0" w:space="0" w:color="auto"/>
            <w:right w:val="none" w:sz="0" w:space="0" w:color="auto"/>
          </w:divBdr>
          <w:divsChild>
            <w:div w:id="1082992826">
              <w:marLeft w:val="0"/>
              <w:marRight w:val="0"/>
              <w:marTop w:val="0"/>
              <w:marBottom w:val="0"/>
              <w:divBdr>
                <w:top w:val="none" w:sz="0" w:space="0" w:color="auto"/>
                <w:left w:val="none" w:sz="0" w:space="0" w:color="auto"/>
                <w:bottom w:val="none" w:sz="0" w:space="0" w:color="auto"/>
                <w:right w:val="none" w:sz="0" w:space="0" w:color="auto"/>
              </w:divBdr>
              <w:divsChild>
                <w:div w:id="804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ol.gov/featured/overtime" TargetMode="External"/><Relationship Id="rId18" Type="http://schemas.openxmlformats.org/officeDocument/2006/relationships/hyperlink" Target="https://www.dol.gov/whd/overtime/final2016/webinarfaq.ht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dol.gov/whd/overtime/fs17d_professional.htm" TargetMode="External"/><Relationship Id="rId7" Type="http://schemas.openxmlformats.org/officeDocument/2006/relationships/endnotes" Target="endnotes.xml"/><Relationship Id="rId12" Type="http://schemas.openxmlformats.org/officeDocument/2006/relationships/hyperlink" Target="https://www.dol.gov/sites/default/files/overtime-overview.pdf" TargetMode="External"/><Relationship Id="rId17" Type="http://schemas.openxmlformats.org/officeDocument/2006/relationships/hyperlink" Target="https://www.dol.gov/whd/regs/compliance/hrg.htm" TargetMode="External"/><Relationship Id="rId25" Type="http://schemas.openxmlformats.org/officeDocument/2006/relationships/hyperlink" Target="mailto:serina@pachc.org" TargetMode="External"/><Relationship Id="rId2" Type="http://schemas.openxmlformats.org/officeDocument/2006/relationships/numbering" Target="numbering.xml"/><Relationship Id="rId16" Type="http://schemas.openxmlformats.org/officeDocument/2006/relationships/hyperlink" Target="http://www.dol.gov/elaws/flsa.htm" TargetMode="External"/><Relationship Id="rId20" Type="http://schemas.openxmlformats.org/officeDocument/2006/relationships/hyperlink" Target="https://www.dol.gov/whd/overtime/final2016/nonprofit-guida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gov/whd/flsa/" TargetMode="External"/><Relationship Id="rId24" Type="http://schemas.openxmlformats.org/officeDocument/2006/relationships/hyperlink" Target="https://blog.dol.gov/2015/08/26/non-profits-and-the-proposed-overtime-rule/" TargetMode="Externa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hyperlink" Target="https://www.councilofnonprofits.org/trends-policy-issues/overtime-regulations-and-the-impact-nonprofits" TargetMode="External"/><Relationship Id="rId28" Type="http://schemas.openxmlformats.org/officeDocument/2006/relationships/theme" Target="theme/theme1.xml"/><Relationship Id="rId10" Type="http://schemas.openxmlformats.org/officeDocument/2006/relationships/hyperlink" Target="https://www.dol.gov/whd/overtime/fs17h_highly_comp.pdf" TargetMode="External"/><Relationship Id="rId19" Type="http://schemas.openxmlformats.org/officeDocument/2006/relationships/hyperlink" Target="https://www.dol.gov/whd/regs/compliance/whdfs14a.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dol.gov/whd/overtime/fact_sheets.htm" TargetMode="External"/><Relationship Id="rId22" Type="http://schemas.openxmlformats.org/officeDocument/2006/relationships/hyperlink" Target="https://www.dol.gov/whd/overtime/fs17h_highly_comp.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2DA36-53A5-43E2-BFB7-4493A4B7E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7639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dc:creator>
  <cp:lastModifiedBy>Amanda Tekely</cp:lastModifiedBy>
  <cp:revision>2</cp:revision>
  <cp:lastPrinted>2016-03-04T14:42:00Z</cp:lastPrinted>
  <dcterms:created xsi:type="dcterms:W3CDTF">2016-11-18T14:56:00Z</dcterms:created>
  <dcterms:modified xsi:type="dcterms:W3CDTF">2016-11-18T14:56:00Z</dcterms:modified>
</cp:coreProperties>
</file>